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87ECA" w:rsidRPr="00115020" w:rsidRDefault="00CD1463" w:rsidP="001B7406">
      <w:pPr>
        <w:spacing w:after="600"/>
        <w:jc w:val="right"/>
        <w:rPr>
          <w:rFonts w:ascii="Arial" w:hAnsi="Arial" w:cs="Arial"/>
          <w:sz w:val="22"/>
          <w:szCs w:val="22"/>
        </w:rPr>
      </w:pPr>
      <w:bookmarkStart w:id="0" w:name="_GoBack"/>
      <w:bookmarkEnd w:id="0"/>
      <w:r w:rsidRPr="00115020">
        <w:rPr>
          <w:rFonts w:ascii="Arial" w:hAnsi="Arial" w:cs="Arial"/>
          <w:bCs/>
          <w:sz w:val="22"/>
          <w:szCs w:val="22"/>
        </w:rPr>
        <w:t>I.</w:t>
      </w:r>
    </w:p>
    <w:p w:rsidR="002A672E" w:rsidRPr="00115020" w:rsidRDefault="0040404C" w:rsidP="001B7406">
      <w:pPr>
        <w:spacing w:after="600"/>
        <w:jc w:val="center"/>
        <w:rPr>
          <w:rFonts w:ascii="Arial" w:hAnsi="Arial" w:cs="Arial"/>
          <w:b/>
          <w:szCs w:val="22"/>
        </w:rPr>
      </w:pPr>
      <w:r w:rsidRPr="00115020">
        <w:rPr>
          <w:rFonts w:ascii="Arial" w:hAnsi="Arial" w:cs="Arial"/>
          <w:b/>
          <w:szCs w:val="22"/>
        </w:rPr>
        <w:t>PŘEDKLÁDACÍ ZPRÁVA</w:t>
      </w:r>
    </w:p>
    <w:p w:rsidR="00742233" w:rsidRPr="00115020" w:rsidRDefault="00742233" w:rsidP="00742233">
      <w:pPr>
        <w:pStyle w:val="Titulnstrana"/>
      </w:pPr>
      <w:r w:rsidRPr="00115020">
        <w:rPr>
          <w:sz w:val="36"/>
        </w:rPr>
        <w:t xml:space="preserve">Informace o </w:t>
      </w:r>
      <w:r w:rsidR="00FD034B" w:rsidRPr="00115020">
        <w:rPr>
          <w:sz w:val="36"/>
        </w:rPr>
        <w:t>průmyslové zóně Nad Barborou v Moravskoslezském kraji</w:t>
      </w:r>
    </w:p>
    <w:p w:rsidR="00742233" w:rsidRPr="005D7F59" w:rsidRDefault="00742233" w:rsidP="005D7F59">
      <w:pPr>
        <w:spacing w:before="240" w:after="120" w:line="360" w:lineRule="auto"/>
        <w:jc w:val="both"/>
        <w:rPr>
          <w:rFonts w:ascii="Arial" w:hAnsi="Arial" w:cs="Arial"/>
          <w:sz w:val="22"/>
          <w:szCs w:val="22"/>
        </w:rPr>
      </w:pPr>
    </w:p>
    <w:p w:rsidR="0031123A" w:rsidRPr="00032692" w:rsidRDefault="00742233" w:rsidP="005D7F59">
      <w:pPr>
        <w:spacing w:before="240" w:after="120" w:line="360" w:lineRule="auto"/>
        <w:jc w:val="both"/>
        <w:rPr>
          <w:rFonts w:ascii="Arial" w:hAnsi="Arial" w:cs="Arial"/>
          <w:sz w:val="22"/>
          <w:szCs w:val="22"/>
        </w:rPr>
      </w:pPr>
      <w:r w:rsidRPr="00032692">
        <w:rPr>
          <w:rFonts w:ascii="Arial" w:hAnsi="Arial" w:cs="Arial"/>
          <w:sz w:val="22"/>
          <w:szCs w:val="22"/>
        </w:rPr>
        <w:t xml:space="preserve">Předmětem tohoto materiálu je </w:t>
      </w:r>
      <w:r w:rsidR="009671DD" w:rsidRPr="00032692">
        <w:rPr>
          <w:rFonts w:ascii="Arial" w:hAnsi="Arial" w:cs="Arial"/>
          <w:sz w:val="22"/>
          <w:szCs w:val="22"/>
        </w:rPr>
        <w:t>aktualizovaná</w:t>
      </w:r>
      <w:r w:rsidRPr="00032692">
        <w:rPr>
          <w:rFonts w:ascii="Arial" w:hAnsi="Arial" w:cs="Arial"/>
          <w:sz w:val="22"/>
          <w:szCs w:val="22"/>
        </w:rPr>
        <w:t xml:space="preserve"> </w:t>
      </w:r>
      <w:r w:rsidR="0031123A" w:rsidRPr="00032692">
        <w:rPr>
          <w:rFonts w:ascii="Arial" w:hAnsi="Arial" w:cs="Arial"/>
          <w:sz w:val="22"/>
          <w:szCs w:val="22"/>
        </w:rPr>
        <w:t xml:space="preserve">informace </w:t>
      </w:r>
      <w:r w:rsidRPr="00032692">
        <w:rPr>
          <w:rFonts w:ascii="Arial" w:hAnsi="Arial" w:cs="Arial"/>
          <w:sz w:val="22"/>
          <w:szCs w:val="22"/>
        </w:rPr>
        <w:t>členům vlády</w:t>
      </w:r>
      <w:r w:rsidR="0031123A" w:rsidRPr="00032692">
        <w:rPr>
          <w:rFonts w:ascii="Arial" w:hAnsi="Arial" w:cs="Arial"/>
          <w:sz w:val="22"/>
          <w:szCs w:val="22"/>
        </w:rPr>
        <w:t xml:space="preserve"> o </w:t>
      </w:r>
      <w:r w:rsidR="00E2706E" w:rsidRPr="00032692">
        <w:rPr>
          <w:rFonts w:ascii="Arial" w:hAnsi="Arial" w:cs="Arial"/>
          <w:sz w:val="22"/>
          <w:szCs w:val="22"/>
        </w:rPr>
        <w:t>průmyslové zóně Nad Barborou a rozvojových plochách v Moravskoslezském kraji</w:t>
      </w:r>
      <w:r w:rsidR="005D7F59" w:rsidRPr="00032692">
        <w:rPr>
          <w:rFonts w:ascii="Arial" w:hAnsi="Arial" w:cs="Arial"/>
          <w:sz w:val="22"/>
          <w:szCs w:val="22"/>
        </w:rPr>
        <w:t xml:space="preserve"> (dále MSK)</w:t>
      </w:r>
      <w:r w:rsidR="00E2706E" w:rsidRPr="00032692">
        <w:rPr>
          <w:rFonts w:ascii="Arial" w:hAnsi="Arial" w:cs="Arial"/>
          <w:sz w:val="22"/>
          <w:szCs w:val="22"/>
        </w:rPr>
        <w:t>.</w:t>
      </w:r>
    </w:p>
    <w:p w:rsidR="009E58A1" w:rsidRPr="00032692" w:rsidRDefault="0031123A" w:rsidP="00796AC9">
      <w:pPr>
        <w:spacing w:before="240" w:after="120" w:line="360" w:lineRule="auto"/>
        <w:jc w:val="both"/>
        <w:rPr>
          <w:rFonts w:ascii="Arial" w:hAnsi="Arial" w:cs="Arial"/>
          <w:sz w:val="22"/>
          <w:szCs w:val="22"/>
        </w:rPr>
      </w:pPr>
      <w:r w:rsidRPr="00032692">
        <w:rPr>
          <w:rFonts w:ascii="Arial" w:hAnsi="Arial" w:cs="Arial"/>
          <w:sz w:val="22"/>
          <w:szCs w:val="22"/>
        </w:rPr>
        <w:t>Průmyslová zóna Nad Barborou (dále jen „PZNB“) byla schválena usnesením vlády ze dne 30. října 2013 č. 824, které bylo aktualizováno usnesením vlády ze dne 22. července 2015 č.</w:t>
      </w:r>
      <w:r w:rsidR="006E0F65" w:rsidRPr="00032692">
        <w:rPr>
          <w:rFonts w:ascii="Arial" w:hAnsi="Arial" w:cs="Arial"/>
          <w:sz w:val="22"/>
          <w:szCs w:val="22"/>
        </w:rPr>
        <w:t> </w:t>
      </w:r>
      <w:r w:rsidRPr="00032692">
        <w:rPr>
          <w:rFonts w:ascii="Arial" w:hAnsi="Arial" w:cs="Arial"/>
          <w:sz w:val="22"/>
          <w:szCs w:val="22"/>
        </w:rPr>
        <w:t xml:space="preserve">576. </w:t>
      </w:r>
      <w:r w:rsidR="00796AC9" w:rsidRPr="00032692">
        <w:rPr>
          <w:rFonts w:ascii="Arial" w:hAnsi="Arial" w:cs="Arial"/>
          <w:sz w:val="22"/>
          <w:szCs w:val="22"/>
        </w:rPr>
        <w:t xml:space="preserve"> </w:t>
      </w:r>
    </w:p>
    <w:p w:rsidR="00796AC9" w:rsidRPr="00032692" w:rsidRDefault="00796AC9" w:rsidP="00796AC9">
      <w:pPr>
        <w:spacing w:before="240" w:after="120" w:line="360" w:lineRule="auto"/>
        <w:jc w:val="both"/>
        <w:rPr>
          <w:rFonts w:ascii="Arial" w:hAnsi="Arial" w:cs="Arial"/>
          <w:sz w:val="22"/>
          <w:szCs w:val="22"/>
        </w:rPr>
      </w:pPr>
      <w:r w:rsidRPr="00032692">
        <w:rPr>
          <w:rFonts w:ascii="Arial" w:hAnsi="Arial" w:cs="Arial"/>
          <w:sz w:val="22"/>
          <w:szCs w:val="22"/>
        </w:rPr>
        <w:t xml:space="preserve">Průmyslová zóna Nad Barborou se nachází mezi městy Karviná, Havířov a Orlová, v katastrálním území Karviná – Doly. Po kompletní dostavbě má mít zóna rozlohu až 89 ha, využitelná plocha pro investory má dosáhnout 59,7 ha. Zóna by měla podpořit tvorbu až 2 000 nových pracovních míst. </w:t>
      </w:r>
    </w:p>
    <w:p w:rsidR="00AD7778" w:rsidRPr="00032692" w:rsidRDefault="00796AC9" w:rsidP="00EB630C">
      <w:pPr>
        <w:spacing w:before="240" w:after="120" w:line="360" w:lineRule="auto"/>
        <w:jc w:val="both"/>
        <w:rPr>
          <w:rFonts w:ascii="Arial" w:hAnsi="Arial" w:cs="Arial"/>
          <w:sz w:val="22"/>
          <w:szCs w:val="22"/>
        </w:rPr>
      </w:pPr>
      <w:r w:rsidRPr="00032692">
        <w:rPr>
          <w:rFonts w:ascii="Arial" w:hAnsi="Arial" w:cs="Arial"/>
          <w:sz w:val="22"/>
          <w:szCs w:val="22"/>
        </w:rPr>
        <w:t>V současné době je m</w:t>
      </w:r>
      <w:r w:rsidR="0031123A" w:rsidRPr="00032692">
        <w:rPr>
          <w:rFonts w:ascii="Arial" w:hAnsi="Arial" w:cs="Arial"/>
          <w:sz w:val="22"/>
          <w:szCs w:val="22"/>
        </w:rPr>
        <w:t>ajoritním vlastníkem pozemků v</w:t>
      </w:r>
      <w:r w:rsidR="00302624" w:rsidRPr="00032692">
        <w:rPr>
          <w:rFonts w:ascii="Arial" w:hAnsi="Arial" w:cs="Arial"/>
          <w:sz w:val="22"/>
          <w:szCs w:val="22"/>
        </w:rPr>
        <w:t xml:space="preserve"> předmětné </w:t>
      </w:r>
      <w:r w:rsidR="0031123A" w:rsidRPr="00032692">
        <w:rPr>
          <w:rFonts w:ascii="Arial" w:hAnsi="Arial" w:cs="Arial"/>
          <w:sz w:val="22"/>
          <w:szCs w:val="22"/>
        </w:rPr>
        <w:t xml:space="preserve">lokalitě </w:t>
      </w:r>
      <w:r w:rsidR="009E58A1" w:rsidRPr="00032692">
        <w:rPr>
          <w:rFonts w:ascii="Arial" w:hAnsi="Arial" w:cs="Arial"/>
          <w:sz w:val="22"/>
          <w:szCs w:val="22"/>
        </w:rPr>
        <w:t>plánované průmyslové zóny</w:t>
      </w:r>
      <w:r w:rsidR="00C87F92" w:rsidRPr="00032692">
        <w:rPr>
          <w:rFonts w:ascii="Arial" w:hAnsi="Arial" w:cs="Arial"/>
          <w:sz w:val="22"/>
          <w:szCs w:val="22"/>
        </w:rPr>
        <w:t xml:space="preserve"> </w:t>
      </w:r>
      <w:r w:rsidR="0031123A" w:rsidRPr="00032692">
        <w:rPr>
          <w:rFonts w:ascii="Arial" w:hAnsi="Arial" w:cs="Arial"/>
          <w:sz w:val="22"/>
          <w:szCs w:val="22"/>
        </w:rPr>
        <w:t xml:space="preserve">společnost </w:t>
      </w:r>
      <w:proofErr w:type="spellStart"/>
      <w:r w:rsidRPr="00032692">
        <w:rPr>
          <w:rFonts w:ascii="Arial" w:hAnsi="Arial" w:cs="Arial"/>
          <w:sz w:val="22"/>
          <w:szCs w:val="22"/>
        </w:rPr>
        <w:t>Asental</w:t>
      </w:r>
      <w:proofErr w:type="spellEnd"/>
      <w:r w:rsidRPr="00032692">
        <w:rPr>
          <w:rFonts w:ascii="Arial" w:hAnsi="Arial" w:cs="Arial"/>
          <w:sz w:val="22"/>
          <w:szCs w:val="22"/>
        </w:rPr>
        <w:t xml:space="preserve"> Land, s.r.o. Jedná se o společnost RPG RE Land, s.r.o. jejíž obchodní název byl </w:t>
      </w:r>
      <w:r w:rsidR="006C0430" w:rsidRPr="00032692">
        <w:rPr>
          <w:rFonts w:ascii="Arial" w:hAnsi="Arial" w:cs="Arial"/>
          <w:sz w:val="22"/>
          <w:szCs w:val="22"/>
        </w:rPr>
        <w:t>zápisem</w:t>
      </w:r>
      <w:r w:rsidRPr="00032692">
        <w:rPr>
          <w:rFonts w:ascii="Arial" w:hAnsi="Arial" w:cs="Arial"/>
          <w:sz w:val="22"/>
          <w:szCs w:val="22"/>
        </w:rPr>
        <w:t xml:space="preserve"> v Obchodním rejstříku ze dne 5. 5. </w:t>
      </w:r>
      <w:r w:rsidR="00302624" w:rsidRPr="00032692">
        <w:rPr>
          <w:rFonts w:ascii="Arial" w:hAnsi="Arial" w:cs="Arial"/>
          <w:sz w:val="22"/>
          <w:szCs w:val="22"/>
        </w:rPr>
        <w:t>2014 změněn na „</w:t>
      </w:r>
      <w:proofErr w:type="spellStart"/>
      <w:r w:rsidR="00302624" w:rsidRPr="00032692">
        <w:rPr>
          <w:rFonts w:ascii="Arial" w:hAnsi="Arial" w:cs="Arial"/>
          <w:sz w:val="22"/>
          <w:szCs w:val="22"/>
        </w:rPr>
        <w:t>Asental</w:t>
      </w:r>
      <w:proofErr w:type="spellEnd"/>
      <w:r w:rsidR="00302624" w:rsidRPr="00032692">
        <w:rPr>
          <w:rFonts w:ascii="Arial" w:hAnsi="Arial" w:cs="Arial"/>
          <w:sz w:val="22"/>
          <w:szCs w:val="22"/>
        </w:rPr>
        <w:t xml:space="preserve"> Land, s.r.</w:t>
      </w:r>
      <w:proofErr w:type="gramStart"/>
      <w:r w:rsidR="00302624" w:rsidRPr="00032692">
        <w:rPr>
          <w:rFonts w:ascii="Arial" w:hAnsi="Arial" w:cs="Arial"/>
          <w:sz w:val="22"/>
          <w:szCs w:val="22"/>
        </w:rPr>
        <w:t>o.“.</w:t>
      </w:r>
      <w:r w:rsidR="0031123A" w:rsidRPr="00032692">
        <w:rPr>
          <w:rFonts w:ascii="Arial" w:hAnsi="Arial" w:cs="Arial"/>
          <w:sz w:val="22"/>
          <w:szCs w:val="22"/>
        </w:rPr>
        <w:t>.</w:t>
      </w:r>
      <w:proofErr w:type="gramEnd"/>
      <w:r w:rsidR="00DD6249" w:rsidRPr="00032692">
        <w:rPr>
          <w:rFonts w:ascii="Arial" w:hAnsi="Arial" w:cs="Arial"/>
          <w:sz w:val="22"/>
          <w:szCs w:val="22"/>
        </w:rPr>
        <w:t xml:space="preserve"> </w:t>
      </w:r>
      <w:r w:rsidR="00F26864" w:rsidRPr="00032692">
        <w:rPr>
          <w:rFonts w:ascii="Arial" w:hAnsi="Arial" w:cs="Arial"/>
          <w:sz w:val="22"/>
          <w:szCs w:val="22"/>
        </w:rPr>
        <w:t xml:space="preserve">Obchodní společnost RPG RE Land, s.r.o. vznikla </w:t>
      </w:r>
      <w:r w:rsidR="00302624" w:rsidRPr="00032692">
        <w:rPr>
          <w:rFonts w:ascii="Arial" w:hAnsi="Arial" w:cs="Arial"/>
          <w:sz w:val="22"/>
          <w:szCs w:val="22"/>
        </w:rPr>
        <w:t xml:space="preserve">v květnu 2006 </w:t>
      </w:r>
      <w:r w:rsidR="00F26864" w:rsidRPr="00032692">
        <w:rPr>
          <w:rFonts w:ascii="Arial" w:hAnsi="Arial" w:cs="Arial"/>
          <w:sz w:val="22"/>
          <w:szCs w:val="22"/>
        </w:rPr>
        <w:t xml:space="preserve">rozdělením zanikající společnosti OKD, a.s. a přešla na ni část jmění OKD, a.s. </w:t>
      </w:r>
      <w:r w:rsidR="00302624" w:rsidRPr="00032692">
        <w:rPr>
          <w:rFonts w:ascii="Arial" w:hAnsi="Arial" w:cs="Arial"/>
          <w:sz w:val="22"/>
          <w:szCs w:val="22"/>
        </w:rPr>
        <w:t>V</w:t>
      </w:r>
      <w:r w:rsidR="006C0430" w:rsidRPr="00032692">
        <w:rPr>
          <w:rFonts w:ascii="Arial" w:hAnsi="Arial" w:cs="Arial"/>
          <w:sz w:val="22"/>
          <w:szCs w:val="22"/>
        </w:rPr>
        <w:t xml:space="preserve"> příloze předkládací zprávy</w:t>
      </w:r>
      <w:r w:rsidR="00302624" w:rsidRPr="00032692">
        <w:rPr>
          <w:rFonts w:ascii="Arial" w:hAnsi="Arial" w:cs="Arial"/>
          <w:sz w:val="22"/>
          <w:szCs w:val="22"/>
        </w:rPr>
        <w:t xml:space="preserve"> </w:t>
      </w:r>
      <w:r w:rsidR="00AD7778" w:rsidRPr="00032692">
        <w:rPr>
          <w:rFonts w:ascii="Arial" w:hAnsi="Arial" w:cs="Arial"/>
          <w:sz w:val="22"/>
          <w:szCs w:val="22"/>
        </w:rPr>
        <w:t xml:space="preserve">i v materiálu </w:t>
      </w:r>
      <w:r w:rsidR="00302624" w:rsidRPr="00032692">
        <w:rPr>
          <w:rFonts w:ascii="Arial" w:hAnsi="Arial" w:cs="Arial"/>
          <w:sz w:val="22"/>
          <w:szCs w:val="22"/>
        </w:rPr>
        <w:t>usnesení vlády č. 824 z roku 2013</w:t>
      </w:r>
      <w:r w:rsidR="001E481A" w:rsidRPr="00032692">
        <w:rPr>
          <w:rFonts w:ascii="Arial" w:hAnsi="Arial" w:cs="Arial"/>
          <w:sz w:val="22"/>
          <w:szCs w:val="22"/>
        </w:rPr>
        <w:t xml:space="preserve"> </w:t>
      </w:r>
      <w:r w:rsidR="00302624" w:rsidRPr="00032692">
        <w:rPr>
          <w:rFonts w:ascii="Arial" w:hAnsi="Arial" w:cs="Arial"/>
          <w:sz w:val="22"/>
          <w:szCs w:val="22"/>
        </w:rPr>
        <w:t>byla jednoznačně uvedena informace o tom, že je společnost RPG RE Land, s.r.o. majoritním vlastníkem</w:t>
      </w:r>
      <w:r w:rsidR="009E58A1" w:rsidRPr="00032692">
        <w:rPr>
          <w:rFonts w:ascii="Arial" w:hAnsi="Arial" w:cs="Arial"/>
          <w:sz w:val="22"/>
          <w:szCs w:val="22"/>
        </w:rPr>
        <w:t xml:space="preserve"> pozemků</w:t>
      </w:r>
      <w:r w:rsidR="00302624" w:rsidRPr="00032692">
        <w:rPr>
          <w:rFonts w:ascii="Arial" w:hAnsi="Arial" w:cs="Arial"/>
          <w:sz w:val="22"/>
          <w:szCs w:val="22"/>
        </w:rPr>
        <w:t>.</w:t>
      </w:r>
      <w:r w:rsidR="009E58A1" w:rsidRPr="00032692">
        <w:rPr>
          <w:rFonts w:ascii="Arial" w:hAnsi="Arial" w:cs="Arial"/>
          <w:sz w:val="22"/>
          <w:szCs w:val="22"/>
        </w:rPr>
        <w:t xml:space="preserve"> </w:t>
      </w:r>
      <w:r w:rsidR="00AD7778" w:rsidRPr="00032692">
        <w:rPr>
          <w:rFonts w:ascii="Arial" w:hAnsi="Arial" w:cs="Arial"/>
          <w:sz w:val="22"/>
          <w:szCs w:val="22"/>
        </w:rPr>
        <w:t>V aktualizovaném usnesení vlády 576/2015 je tato informace uvedena pouze ve vypořád</w:t>
      </w:r>
      <w:r w:rsidR="00335D6F" w:rsidRPr="00032692">
        <w:rPr>
          <w:rFonts w:ascii="Arial" w:hAnsi="Arial" w:cs="Arial"/>
          <w:sz w:val="22"/>
          <w:szCs w:val="22"/>
        </w:rPr>
        <w:t>á</w:t>
      </w:r>
      <w:r w:rsidR="00AD7778" w:rsidRPr="00032692">
        <w:rPr>
          <w:rFonts w:ascii="Arial" w:hAnsi="Arial" w:cs="Arial"/>
          <w:sz w:val="22"/>
          <w:szCs w:val="22"/>
        </w:rPr>
        <w:t>ní připomínek</w:t>
      </w:r>
      <w:r w:rsidR="00335D6F" w:rsidRPr="00032692">
        <w:rPr>
          <w:rFonts w:ascii="Arial" w:hAnsi="Arial" w:cs="Arial"/>
          <w:sz w:val="22"/>
          <w:szCs w:val="22"/>
        </w:rPr>
        <w:t>.</w:t>
      </w:r>
      <w:r w:rsidR="00AD7778" w:rsidRPr="00032692">
        <w:rPr>
          <w:rFonts w:ascii="Arial" w:hAnsi="Arial" w:cs="Arial"/>
          <w:sz w:val="22"/>
          <w:szCs w:val="22"/>
        </w:rPr>
        <w:t xml:space="preserve"> </w:t>
      </w:r>
    </w:p>
    <w:p w:rsidR="00C87F92" w:rsidRPr="00032692" w:rsidRDefault="00C87F92" w:rsidP="00EB630C">
      <w:pPr>
        <w:spacing w:before="240" w:after="120" w:line="360" w:lineRule="auto"/>
        <w:jc w:val="both"/>
        <w:rPr>
          <w:rFonts w:ascii="Arial" w:hAnsi="Arial" w:cs="Arial"/>
          <w:sz w:val="22"/>
          <w:szCs w:val="22"/>
        </w:rPr>
      </w:pPr>
      <w:r w:rsidRPr="00032692">
        <w:rPr>
          <w:rFonts w:ascii="Arial" w:hAnsi="Arial" w:cs="Arial"/>
          <w:sz w:val="22"/>
          <w:szCs w:val="22"/>
        </w:rPr>
        <w:t>Výběr této lokality je podpořen mnoha důvody, zejména:</w:t>
      </w:r>
    </w:p>
    <w:p w:rsidR="00C87F92" w:rsidRPr="00032692" w:rsidRDefault="00C87F92" w:rsidP="00C87F92">
      <w:pPr>
        <w:pStyle w:val="Odstavecseseznamem"/>
        <w:numPr>
          <w:ilvl w:val="0"/>
          <w:numId w:val="2"/>
        </w:numPr>
        <w:overflowPunct w:val="0"/>
        <w:autoSpaceDE w:val="0"/>
        <w:autoSpaceDN w:val="0"/>
        <w:adjustRightInd w:val="0"/>
        <w:spacing w:after="120" w:line="360" w:lineRule="auto"/>
        <w:jc w:val="both"/>
        <w:textAlignment w:val="baseline"/>
        <w:rPr>
          <w:rFonts w:ascii="Arial" w:hAnsi="Arial" w:cs="Arial"/>
          <w:sz w:val="22"/>
          <w:szCs w:val="22"/>
        </w:rPr>
      </w:pPr>
      <w:r w:rsidRPr="00032692">
        <w:rPr>
          <w:rFonts w:ascii="Arial" w:hAnsi="Arial" w:cs="Arial"/>
          <w:sz w:val="22"/>
          <w:szCs w:val="22"/>
        </w:rPr>
        <w:t>lokalita se nachází v území problematického okresu Karviná, který se řadí mezi okresy s nejvyšší nezaměstnaností a jehož nezaměstnanost se v souvislosti s útlumem těžby rapidně zvýší;</w:t>
      </w:r>
    </w:p>
    <w:p w:rsidR="00C87F92" w:rsidRPr="00032692" w:rsidRDefault="00C87F92" w:rsidP="00C87F92">
      <w:pPr>
        <w:pStyle w:val="Odstavecseseznamem"/>
        <w:numPr>
          <w:ilvl w:val="0"/>
          <w:numId w:val="2"/>
        </w:numPr>
        <w:overflowPunct w:val="0"/>
        <w:autoSpaceDE w:val="0"/>
        <w:autoSpaceDN w:val="0"/>
        <w:adjustRightInd w:val="0"/>
        <w:spacing w:after="120" w:line="360" w:lineRule="auto"/>
        <w:jc w:val="both"/>
        <w:textAlignment w:val="baseline"/>
        <w:rPr>
          <w:rFonts w:ascii="Arial" w:hAnsi="Arial" w:cs="Arial"/>
          <w:sz w:val="22"/>
          <w:szCs w:val="22"/>
        </w:rPr>
      </w:pPr>
      <w:r w:rsidRPr="00032692">
        <w:rPr>
          <w:rFonts w:ascii="Arial" w:hAnsi="Arial" w:cs="Arial"/>
          <w:sz w:val="22"/>
          <w:szCs w:val="22"/>
        </w:rPr>
        <w:t>vysoký stupeň připravenosti lokality, lokalitu je možné dle stávajícího územního plánu využít pro výstavbu průmyslové zóny;</w:t>
      </w:r>
    </w:p>
    <w:p w:rsidR="00C87F92" w:rsidRPr="00032692" w:rsidRDefault="00C87F92" w:rsidP="00C87F92">
      <w:pPr>
        <w:pStyle w:val="Odstavecseseznamem"/>
        <w:numPr>
          <w:ilvl w:val="0"/>
          <w:numId w:val="2"/>
        </w:numPr>
        <w:overflowPunct w:val="0"/>
        <w:autoSpaceDE w:val="0"/>
        <w:autoSpaceDN w:val="0"/>
        <w:adjustRightInd w:val="0"/>
        <w:spacing w:after="120" w:line="360" w:lineRule="auto"/>
        <w:jc w:val="both"/>
        <w:textAlignment w:val="baseline"/>
        <w:rPr>
          <w:rFonts w:ascii="Arial" w:hAnsi="Arial" w:cs="Arial"/>
          <w:sz w:val="22"/>
          <w:szCs w:val="22"/>
        </w:rPr>
      </w:pPr>
      <w:r w:rsidRPr="00032692">
        <w:rPr>
          <w:rFonts w:ascii="Arial" w:hAnsi="Arial" w:cs="Arial"/>
          <w:sz w:val="22"/>
          <w:szCs w:val="22"/>
        </w:rPr>
        <w:lastRenderedPageBreak/>
        <w:t>existují 2 nezávislé znalecké posudky, které charakterizují území PZ jako kategorii V. skupiny stavenišť na poddolovaném území dle ČSN 73 0039, to je bezpečné území pro pozemní průmyslové stavby.</w:t>
      </w:r>
    </w:p>
    <w:p w:rsidR="00C87F92" w:rsidRPr="00032692" w:rsidRDefault="00C87F92" w:rsidP="00C87F92">
      <w:pPr>
        <w:pStyle w:val="Odstavecseseznamem"/>
        <w:numPr>
          <w:ilvl w:val="0"/>
          <w:numId w:val="2"/>
        </w:numPr>
        <w:overflowPunct w:val="0"/>
        <w:autoSpaceDE w:val="0"/>
        <w:autoSpaceDN w:val="0"/>
        <w:adjustRightInd w:val="0"/>
        <w:spacing w:after="120" w:line="360" w:lineRule="auto"/>
        <w:jc w:val="both"/>
        <w:textAlignment w:val="baseline"/>
        <w:rPr>
          <w:rFonts w:ascii="Arial" w:hAnsi="Arial" w:cs="Arial"/>
          <w:sz w:val="22"/>
          <w:szCs w:val="22"/>
        </w:rPr>
      </w:pPr>
      <w:r w:rsidRPr="00032692">
        <w:rPr>
          <w:rFonts w:ascii="Arial" w:hAnsi="Arial" w:cs="Arial"/>
          <w:sz w:val="22"/>
          <w:szCs w:val="22"/>
        </w:rPr>
        <w:t>podle znaleckých posudků se pod lokalitou nenachází ekonomicky rentabilní těžitelné zásoby černého uhlí;</w:t>
      </w:r>
    </w:p>
    <w:p w:rsidR="00C87F92" w:rsidRPr="00032692" w:rsidRDefault="00C87F92" w:rsidP="00C87F92">
      <w:pPr>
        <w:pStyle w:val="Odstavecseseznamem"/>
        <w:numPr>
          <w:ilvl w:val="0"/>
          <w:numId w:val="2"/>
        </w:numPr>
        <w:overflowPunct w:val="0"/>
        <w:autoSpaceDE w:val="0"/>
        <w:autoSpaceDN w:val="0"/>
        <w:adjustRightInd w:val="0"/>
        <w:spacing w:after="120" w:line="360" w:lineRule="auto"/>
        <w:jc w:val="both"/>
        <w:textAlignment w:val="baseline"/>
        <w:rPr>
          <w:rFonts w:ascii="Arial" w:hAnsi="Arial" w:cs="Arial"/>
          <w:sz w:val="22"/>
          <w:szCs w:val="22"/>
        </w:rPr>
      </w:pPr>
      <w:r w:rsidRPr="00032692">
        <w:rPr>
          <w:rFonts w:ascii="Arial" w:hAnsi="Arial" w:cs="Arial"/>
          <w:sz w:val="22"/>
          <w:szCs w:val="22"/>
        </w:rPr>
        <w:t>vysoká ucelenost vlastnických vztahů v předmětné lokalitě;</w:t>
      </w:r>
    </w:p>
    <w:p w:rsidR="00C87F92" w:rsidRPr="00032692" w:rsidRDefault="00C87F92" w:rsidP="00C87F92">
      <w:pPr>
        <w:pStyle w:val="Odstavecseseznamem"/>
        <w:numPr>
          <w:ilvl w:val="0"/>
          <w:numId w:val="2"/>
        </w:numPr>
        <w:overflowPunct w:val="0"/>
        <w:autoSpaceDE w:val="0"/>
        <w:autoSpaceDN w:val="0"/>
        <w:adjustRightInd w:val="0"/>
        <w:spacing w:after="120" w:line="360" w:lineRule="auto"/>
        <w:jc w:val="both"/>
        <w:textAlignment w:val="baseline"/>
        <w:rPr>
          <w:rFonts w:ascii="Arial" w:hAnsi="Arial" w:cs="Arial"/>
          <w:sz w:val="22"/>
          <w:szCs w:val="22"/>
        </w:rPr>
      </w:pPr>
      <w:r w:rsidRPr="00032692">
        <w:rPr>
          <w:rFonts w:ascii="Arial" w:hAnsi="Arial" w:cs="Arial"/>
          <w:sz w:val="22"/>
          <w:szCs w:val="22"/>
        </w:rPr>
        <w:t xml:space="preserve">výborné dopravní napojení díky blízkosti silnice I/59 a II/474 a možnost vybudování železniční vlečky; </w:t>
      </w:r>
    </w:p>
    <w:p w:rsidR="00C87F92" w:rsidRPr="00032692" w:rsidRDefault="00C87F92" w:rsidP="00C87F92">
      <w:pPr>
        <w:pStyle w:val="Odstavecseseznamem"/>
        <w:numPr>
          <w:ilvl w:val="0"/>
          <w:numId w:val="2"/>
        </w:numPr>
        <w:overflowPunct w:val="0"/>
        <w:autoSpaceDE w:val="0"/>
        <w:autoSpaceDN w:val="0"/>
        <w:adjustRightInd w:val="0"/>
        <w:spacing w:after="120" w:line="360" w:lineRule="auto"/>
        <w:jc w:val="both"/>
        <w:textAlignment w:val="baseline"/>
        <w:rPr>
          <w:rFonts w:ascii="Arial" w:hAnsi="Arial" w:cs="Arial"/>
          <w:sz w:val="22"/>
          <w:szCs w:val="22"/>
        </w:rPr>
      </w:pPr>
      <w:r w:rsidRPr="00032692">
        <w:rPr>
          <w:rFonts w:ascii="Arial" w:hAnsi="Arial" w:cs="Arial"/>
          <w:sz w:val="22"/>
          <w:szCs w:val="22"/>
        </w:rPr>
        <w:t xml:space="preserve">výhodou je, že se jedná o </w:t>
      </w:r>
      <w:proofErr w:type="spellStart"/>
      <w:r w:rsidRPr="00032692">
        <w:rPr>
          <w:rFonts w:ascii="Arial" w:hAnsi="Arial" w:cs="Arial"/>
          <w:sz w:val="22"/>
          <w:szCs w:val="22"/>
        </w:rPr>
        <w:t>brownfield</w:t>
      </w:r>
      <w:proofErr w:type="spellEnd"/>
      <w:r w:rsidRPr="00032692">
        <w:rPr>
          <w:rFonts w:ascii="Arial" w:hAnsi="Arial" w:cs="Arial"/>
          <w:sz w:val="22"/>
          <w:szCs w:val="22"/>
        </w:rPr>
        <w:t>, tím splňuje</w:t>
      </w:r>
      <w:r w:rsidRPr="00032692">
        <w:rPr>
          <w:rFonts w:ascii="Arial" w:hAnsi="Arial"/>
          <w:sz w:val="22"/>
          <w:szCs w:val="22"/>
        </w:rPr>
        <w:t xml:space="preserve"> lokalita </w:t>
      </w:r>
      <w:r w:rsidRPr="00032692">
        <w:rPr>
          <w:rFonts w:ascii="Arial" w:hAnsi="Arial" w:cs="Arial"/>
          <w:sz w:val="22"/>
          <w:szCs w:val="22"/>
        </w:rPr>
        <w:t xml:space="preserve">podmínky Deklarace porozumění ze dne 2. listopadu 2006 o nebudování průmyslových zón </w:t>
      </w:r>
      <w:r w:rsidRPr="00032692">
        <w:rPr>
          <w:rFonts w:ascii="Arial" w:hAnsi="Arial"/>
          <w:sz w:val="22"/>
          <w:szCs w:val="22"/>
        </w:rPr>
        <w:t>na zelené louce</w:t>
      </w:r>
      <w:r w:rsidRPr="00032692">
        <w:rPr>
          <w:rFonts w:ascii="Arial" w:hAnsi="Arial" w:cs="Arial"/>
          <w:sz w:val="22"/>
          <w:szCs w:val="22"/>
        </w:rPr>
        <w:t xml:space="preserve">. </w:t>
      </w:r>
    </w:p>
    <w:p w:rsidR="0032014B" w:rsidRDefault="0032014B" w:rsidP="0032014B">
      <w:pPr>
        <w:spacing w:after="120" w:line="360" w:lineRule="auto"/>
        <w:jc w:val="both"/>
        <w:rPr>
          <w:rFonts w:ascii="Arial" w:hAnsi="Arial" w:cs="Arial"/>
          <w:sz w:val="22"/>
          <w:szCs w:val="22"/>
        </w:rPr>
      </w:pPr>
      <w:r w:rsidRPr="00032692">
        <w:rPr>
          <w:rFonts w:ascii="Arial" w:hAnsi="Arial" w:cs="Arial"/>
          <w:sz w:val="22"/>
          <w:szCs w:val="22"/>
        </w:rPr>
        <w:t>Podle informace Moravskoslezského kraje nesplňovala výše uvedená kritéria žádná jiná lokalita v tomto regionu. Navíc lokalita je vhodná i v jiných parametrech, např.  míra nezaměstnanosti, počet uchazečů o zaměstnání, počet absolventů středních technických škol a odborných učilišť, dopravní infrastruktura atd.</w:t>
      </w:r>
    </w:p>
    <w:p w:rsidR="00CA0E9D" w:rsidRPr="00032692" w:rsidRDefault="00CA0E9D" w:rsidP="0032014B">
      <w:pPr>
        <w:spacing w:after="120" w:line="360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Předkládaný materiál obsahuje přehled obsazenosti stávajících průmyslových zón, informaci o ostatních připravovaných akcích a zejména přehled dalších alternativních lokalit, přičemž</w:t>
      </w:r>
      <w:r w:rsidRPr="00CA0E9D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ani jedna z těchto alternativ se nejeví jako vhodná s ohledem na limity využití území, které jsou v materiálu uvedeny.</w:t>
      </w:r>
    </w:p>
    <w:p w:rsidR="00C87F92" w:rsidRPr="00032692" w:rsidRDefault="00C87F92" w:rsidP="00C87F92">
      <w:pPr>
        <w:spacing w:after="120" w:line="360" w:lineRule="auto"/>
        <w:jc w:val="both"/>
        <w:rPr>
          <w:rFonts w:ascii="Arial" w:hAnsi="Arial" w:cs="Arial"/>
          <w:sz w:val="22"/>
          <w:szCs w:val="22"/>
        </w:rPr>
      </w:pPr>
      <w:r w:rsidRPr="00032692">
        <w:rPr>
          <w:rFonts w:ascii="Arial" w:hAnsi="Arial" w:cs="Arial"/>
          <w:sz w:val="22"/>
          <w:szCs w:val="22"/>
        </w:rPr>
        <w:t>Přípravu lokality významně ohrožuje šíření poplašných zpráv a nepodložených spekulací ohledně její nevyužitelnosti. Tyto zprávy poškozují zájmy České republiky v konkurenčním boji s okolními státy při umísťování zahraničních investorů,</w:t>
      </w:r>
      <w:r w:rsidR="0066330D" w:rsidRPr="00032692">
        <w:rPr>
          <w:rFonts w:ascii="Arial" w:hAnsi="Arial" w:cs="Arial"/>
          <w:sz w:val="22"/>
          <w:szCs w:val="22"/>
        </w:rPr>
        <w:t xml:space="preserve"> </w:t>
      </w:r>
      <w:r w:rsidRPr="00032692">
        <w:rPr>
          <w:rFonts w:ascii="Arial" w:hAnsi="Arial" w:cs="Arial"/>
          <w:sz w:val="22"/>
          <w:szCs w:val="22"/>
        </w:rPr>
        <w:t>a které by skutečně mohly zapříčinit, že o tuto lokalitu zájem nebude.</w:t>
      </w:r>
    </w:p>
    <w:p w:rsidR="00B57531" w:rsidRPr="00032692" w:rsidRDefault="00C5117F" w:rsidP="004F0837">
      <w:pPr>
        <w:spacing w:before="240" w:after="120" w:line="360" w:lineRule="auto"/>
        <w:jc w:val="both"/>
        <w:rPr>
          <w:rFonts w:ascii="Arial" w:hAnsi="Arial" w:cs="Arial"/>
          <w:sz w:val="22"/>
          <w:szCs w:val="22"/>
        </w:rPr>
      </w:pPr>
      <w:r w:rsidRPr="00032692">
        <w:rPr>
          <w:rFonts w:ascii="Arial" w:hAnsi="Arial" w:cs="Arial"/>
          <w:sz w:val="22"/>
          <w:szCs w:val="22"/>
        </w:rPr>
        <w:t>Dosavadní p</w:t>
      </w:r>
      <w:r w:rsidR="00DD6249" w:rsidRPr="00032692">
        <w:rPr>
          <w:rFonts w:ascii="Arial" w:hAnsi="Arial" w:cs="Arial"/>
          <w:sz w:val="22"/>
          <w:szCs w:val="22"/>
        </w:rPr>
        <w:t xml:space="preserve">řípravné práce na lokalitě spočívaly </w:t>
      </w:r>
      <w:r w:rsidR="0066330D" w:rsidRPr="00032692">
        <w:rPr>
          <w:rFonts w:ascii="Arial" w:hAnsi="Arial" w:cs="Arial"/>
          <w:sz w:val="22"/>
          <w:szCs w:val="22"/>
        </w:rPr>
        <w:t xml:space="preserve">mimo jiné </w:t>
      </w:r>
      <w:r w:rsidR="00DD6249" w:rsidRPr="00032692">
        <w:rPr>
          <w:rFonts w:ascii="Arial" w:hAnsi="Arial" w:cs="Arial"/>
          <w:sz w:val="22"/>
          <w:szCs w:val="22"/>
        </w:rPr>
        <w:t>v posouzení důlních vlivů bývalé těžby, únosnosti podloží, možných ekologických zátěží</w:t>
      </w:r>
      <w:r w:rsidR="00B57531" w:rsidRPr="00032692">
        <w:rPr>
          <w:rFonts w:ascii="Arial" w:hAnsi="Arial" w:cs="Arial"/>
          <w:sz w:val="22"/>
          <w:szCs w:val="22"/>
        </w:rPr>
        <w:t>, možného úniku metanu a seismicity</w:t>
      </w:r>
      <w:r w:rsidR="00BF0C8A" w:rsidRPr="00032692">
        <w:rPr>
          <w:rFonts w:ascii="Arial" w:hAnsi="Arial" w:cs="Arial"/>
          <w:sz w:val="22"/>
          <w:szCs w:val="22"/>
        </w:rPr>
        <w:t>.</w:t>
      </w:r>
      <w:r w:rsidR="00B57531" w:rsidRPr="00032692">
        <w:rPr>
          <w:rFonts w:ascii="Arial" w:hAnsi="Arial" w:cs="Arial"/>
          <w:sz w:val="22"/>
          <w:szCs w:val="22"/>
        </w:rPr>
        <w:t xml:space="preserve"> </w:t>
      </w:r>
      <w:r w:rsidR="00F26505" w:rsidRPr="00032692">
        <w:rPr>
          <w:rFonts w:ascii="Arial" w:hAnsi="Arial" w:cs="Arial"/>
          <w:sz w:val="22"/>
          <w:szCs w:val="22"/>
        </w:rPr>
        <w:t>Z hlediska důlních vlivů bylo území přetříděno dle ČSN 73 0039 o navrhování objektů na poddolovaném území ze skupiny stavenišť IV. do skupiny stavenišť IV. až V.</w:t>
      </w:r>
      <w:r w:rsidR="00B57531" w:rsidRPr="00032692">
        <w:rPr>
          <w:rFonts w:ascii="Arial" w:hAnsi="Arial" w:cs="Arial"/>
          <w:sz w:val="22"/>
          <w:szCs w:val="22"/>
        </w:rPr>
        <w:t xml:space="preserve"> </w:t>
      </w:r>
    </w:p>
    <w:p w:rsidR="0066330D" w:rsidRPr="00032692" w:rsidRDefault="0066330D" w:rsidP="0066330D">
      <w:pPr>
        <w:spacing w:after="120" w:line="360" w:lineRule="auto"/>
        <w:jc w:val="both"/>
        <w:rPr>
          <w:rFonts w:ascii="Arial" w:hAnsi="Arial" w:cs="Arial"/>
          <w:sz w:val="22"/>
          <w:szCs w:val="22"/>
        </w:rPr>
      </w:pPr>
      <w:r w:rsidRPr="00032692">
        <w:rPr>
          <w:rFonts w:ascii="Arial" w:hAnsi="Arial" w:cs="Arial"/>
          <w:sz w:val="22"/>
          <w:szCs w:val="22"/>
        </w:rPr>
        <w:t xml:space="preserve">S ohledem na skutečnost, že mapa důlních vlivů neobsahuje samostatně skupinu č. V. je směrodatné závazné stanovisko odboru životního prostředí a zemědělství Krajského úřadu Moravskoslezského kraje k umístění stavby v chráněném ložiskovém území vydané dle § 19 zákona č. 44/1988 Sb., o ochraně a využití nerostného bohatství (horní zákon), ve znění pozdějších předpisů. Dne 3. 8. 2015 vydal Krajský úřad Moravskoslezského kraje, odbor životního prostředí a zemědělství, sdělení pro stavby technické a dopravní infrastruktury, ve kterém uvedl, že dle vyjádření Obvodního báňského úřadu pro území krajů Moravskoslezského a Olomouckého, odpovídá předmětná lokalita PZ Nad Barborou V. </w:t>
      </w:r>
      <w:r w:rsidRPr="00032692">
        <w:rPr>
          <w:rFonts w:ascii="Arial" w:hAnsi="Arial" w:cs="Arial"/>
          <w:sz w:val="22"/>
          <w:szCs w:val="22"/>
        </w:rPr>
        <w:lastRenderedPageBreak/>
        <w:t>skupině staveniště dle ČSN 73 0039 (závazné stanovisko dle § 19 horního zákona k jednotlivým stavebním objektů investorů lze vydat až na základě blíže specifikované stavby budoucího investora). Při posuzování budoucích průmyslových staveb bude dále přihlédnuto k vydanému územnímu rozhodnutí na technickou a dopravní infrastrukturu, které zatřiďuje území na úroveň V. stavenišť.</w:t>
      </w:r>
    </w:p>
    <w:p w:rsidR="00DC12A9" w:rsidRPr="00032692" w:rsidRDefault="0001356B" w:rsidP="00AB0F4B">
      <w:pPr>
        <w:spacing w:before="240" w:after="120" w:line="360" w:lineRule="auto"/>
        <w:jc w:val="both"/>
        <w:rPr>
          <w:rFonts w:ascii="Arial" w:hAnsi="Arial" w:cs="Arial"/>
          <w:sz w:val="22"/>
          <w:szCs w:val="22"/>
        </w:rPr>
      </w:pPr>
      <w:r w:rsidRPr="00032692">
        <w:rPr>
          <w:rFonts w:ascii="Arial" w:hAnsi="Arial" w:cs="Arial"/>
          <w:sz w:val="22"/>
          <w:szCs w:val="22"/>
        </w:rPr>
        <w:t>Na lokalitě d</w:t>
      </w:r>
      <w:r w:rsidR="00BF0C8A" w:rsidRPr="00032692">
        <w:rPr>
          <w:rFonts w:ascii="Arial" w:hAnsi="Arial" w:cs="Arial"/>
          <w:sz w:val="22"/>
          <w:szCs w:val="22"/>
        </w:rPr>
        <w:t xml:space="preserve">ále </w:t>
      </w:r>
      <w:r w:rsidRPr="00032692">
        <w:rPr>
          <w:rFonts w:ascii="Arial" w:hAnsi="Arial" w:cs="Arial"/>
          <w:sz w:val="22"/>
          <w:szCs w:val="22"/>
        </w:rPr>
        <w:t xml:space="preserve">proběhlo </w:t>
      </w:r>
      <w:r w:rsidR="00BF0C8A" w:rsidRPr="00032692">
        <w:rPr>
          <w:rFonts w:ascii="Arial" w:hAnsi="Arial" w:cs="Arial"/>
          <w:sz w:val="22"/>
          <w:szCs w:val="22"/>
        </w:rPr>
        <w:t xml:space="preserve">posouzení </w:t>
      </w:r>
      <w:r w:rsidR="000C1981" w:rsidRPr="00032692">
        <w:rPr>
          <w:rFonts w:ascii="Arial" w:hAnsi="Arial" w:cs="Arial"/>
          <w:sz w:val="22"/>
          <w:szCs w:val="22"/>
        </w:rPr>
        <w:t xml:space="preserve">seismicity, </w:t>
      </w:r>
      <w:r w:rsidR="00BF0C8A" w:rsidRPr="00032692">
        <w:rPr>
          <w:rFonts w:ascii="Arial" w:hAnsi="Arial" w:cs="Arial"/>
          <w:sz w:val="22"/>
          <w:szCs w:val="22"/>
        </w:rPr>
        <w:t>indukované seis</w:t>
      </w:r>
      <w:r w:rsidR="00DD6249" w:rsidRPr="00032692">
        <w:rPr>
          <w:rFonts w:ascii="Arial" w:hAnsi="Arial" w:cs="Arial"/>
          <w:sz w:val="22"/>
          <w:szCs w:val="22"/>
        </w:rPr>
        <w:t xml:space="preserve">micity a možnosti </w:t>
      </w:r>
      <w:r w:rsidR="00DC12A9" w:rsidRPr="00032692">
        <w:rPr>
          <w:rFonts w:ascii="Arial" w:hAnsi="Arial" w:cs="Arial"/>
          <w:sz w:val="22"/>
          <w:szCs w:val="22"/>
        </w:rPr>
        <w:t xml:space="preserve">výstupu </w:t>
      </w:r>
      <w:r w:rsidR="00DD6249" w:rsidRPr="00032692">
        <w:rPr>
          <w:rFonts w:ascii="Arial" w:hAnsi="Arial" w:cs="Arial"/>
          <w:sz w:val="22"/>
          <w:szCs w:val="22"/>
        </w:rPr>
        <w:t xml:space="preserve">metanu. </w:t>
      </w:r>
      <w:r w:rsidR="00DC12A9" w:rsidRPr="00032692">
        <w:rPr>
          <w:rFonts w:ascii="Arial" w:hAnsi="Arial" w:cs="Arial"/>
          <w:sz w:val="22"/>
          <w:szCs w:val="22"/>
        </w:rPr>
        <w:t xml:space="preserve">Tyto posudky </w:t>
      </w:r>
      <w:r w:rsidR="0066330D" w:rsidRPr="00032692">
        <w:rPr>
          <w:rFonts w:ascii="Arial" w:hAnsi="Arial" w:cs="Arial"/>
          <w:sz w:val="22"/>
          <w:szCs w:val="22"/>
        </w:rPr>
        <w:t xml:space="preserve">budou oponentně posouzeny </w:t>
      </w:r>
      <w:r w:rsidR="00DC12A9" w:rsidRPr="00032692">
        <w:rPr>
          <w:rFonts w:ascii="Arial" w:hAnsi="Arial" w:cs="Arial"/>
          <w:sz w:val="22"/>
          <w:szCs w:val="22"/>
        </w:rPr>
        <w:t xml:space="preserve">nezávislým expertem agentury CzechInvest. </w:t>
      </w:r>
      <w:r w:rsidRPr="00032692">
        <w:rPr>
          <w:rFonts w:ascii="Arial" w:hAnsi="Arial" w:cs="Arial"/>
          <w:sz w:val="22"/>
          <w:szCs w:val="22"/>
        </w:rPr>
        <w:t xml:space="preserve">Na lokalitě budou rovněž instalována měřidla pro měření možných </w:t>
      </w:r>
      <w:r w:rsidR="00FD1E45" w:rsidRPr="00032692">
        <w:rPr>
          <w:rFonts w:ascii="Arial" w:hAnsi="Arial" w:cs="Arial"/>
          <w:sz w:val="22"/>
          <w:szCs w:val="22"/>
        </w:rPr>
        <w:t>horizontální</w:t>
      </w:r>
      <w:r w:rsidRPr="00032692">
        <w:rPr>
          <w:rFonts w:ascii="Arial" w:hAnsi="Arial" w:cs="Arial"/>
          <w:sz w:val="22"/>
          <w:szCs w:val="22"/>
        </w:rPr>
        <w:t xml:space="preserve">ch i </w:t>
      </w:r>
      <w:r w:rsidR="00F26505" w:rsidRPr="00032692">
        <w:rPr>
          <w:rFonts w:ascii="Arial" w:hAnsi="Arial" w:cs="Arial"/>
          <w:sz w:val="22"/>
          <w:szCs w:val="22"/>
        </w:rPr>
        <w:t>vertikálních deformací terénu, následně bude probíhat monitoring.</w:t>
      </w:r>
    </w:p>
    <w:p w:rsidR="0066330D" w:rsidRPr="00032692" w:rsidRDefault="00F26505" w:rsidP="00F26505">
      <w:pPr>
        <w:spacing w:before="240" w:after="120" w:line="360" w:lineRule="auto"/>
        <w:jc w:val="both"/>
        <w:rPr>
          <w:rFonts w:ascii="Arial" w:hAnsi="Arial" w:cs="Arial"/>
          <w:sz w:val="22"/>
          <w:szCs w:val="22"/>
        </w:rPr>
      </w:pPr>
      <w:r w:rsidRPr="00032692">
        <w:rPr>
          <w:rFonts w:ascii="Arial" w:hAnsi="Arial" w:cs="Arial"/>
          <w:sz w:val="22"/>
          <w:szCs w:val="22"/>
        </w:rPr>
        <w:t xml:space="preserve">V návaznosti na uzavřenou smlouvu o smlouvě budoucí kupní společnost </w:t>
      </w:r>
      <w:proofErr w:type="spellStart"/>
      <w:r w:rsidRPr="00032692">
        <w:rPr>
          <w:rFonts w:ascii="Arial" w:hAnsi="Arial" w:cs="Arial"/>
          <w:sz w:val="22"/>
          <w:szCs w:val="22"/>
        </w:rPr>
        <w:t>Asental</w:t>
      </w:r>
      <w:proofErr w:type="spellEnd"/>
      <w:r w:rsidRPr="00032692">
        <w:rPr>
          <w:rFonts w:ascii="Arial" w:hAnsi="Arial" w:cs="Arial"/>
          <w:sz w:val="22"/>
          <w:szCs w:val="22"/>
        </w:rPr>
        <w:t xml:space="preserve"> zajistila projektovou dokumentaci ve stupni pro územní řízení. </w:t>
      </w:r>
      <w:r w:rsidR="0066330D" w:rsidRPr="00032692">
        <w:rPr>
          <w:rFonts w:ascii="Arial" w:hAnsi="Arial" w:cs="Arial"/>
          <w:sz w:val="22"/>
          <w:szCs w:val="22"/>
        </w:rPr>
        <w:t>Pro technickou a dopravní infrastrukturu a terénní úpravy postupně nabývají moci územní rozhodnutí.</w:t>
      </w:r>
    </w:p>
    <w:p w:rsidR="000777BA" w:rsidRPr="00032692" w:rsidRDefault="00FD1E45" w:rsidP="00777BAF">
      <w:pPr>
        <w:spacing w:after="120" w:line="360" w:lineRule="auto"/>
        <w:jc w:val="both"/>
        <w:rPr>
          <w:rFonts w:ascii="Arial" w:hAnsi="Arial" w:cs="Arial"/>
          <w:sz w:val="22"/>
          <w:szCs w:val="22"/>
        </w:rPr>
      </w:pPr>
      <w:r w:rsidRPr="00032692">
        <w:rPr>
          <w:rFonts w:ascii="Arial" w:hAnsi="Arial" w:cs="Arial"/>
          <w:sz w:val="22"/>
          <w:szCs w:val="22"/>
        </w:rPr>
        <w:t xml:space="preserve">MSK </w:t>
      </w:r>
      <w:r w:rsidR="0066330D" w:rsidRPr="00032692">
        <w:rPr>
          <w:rFonts w:ascii="Arial" w:hAnsi="Arial" w:cs="Arial"/>
          <w:sz w:val="22"/>
          <w:szCs w:val="22"/>
        </w:rPr>
        <w:t>požádal o</w:t>
      </w:r>
      <w:r w:rsidRPr="00032692">
        <w:rPr>
          <w:rFonts w:ascii="Arial" w:hAnsi="Arial" w:cs="Arial"/>
          <w:sz w:val="22"/>
          <w:szCs w:val="22"/>
        </w:rPr>
        <w:t xml:space="preserve"> registraci akce do dotačního programu na podporu podnikatelských nemovitostí a infrastruktury, jehož správcem je MPO</w:t>
      </w:r>
      <w:r w:rsidR="00D74EAC" w:rsidRPr="00032692">
        <w:rPr>
          <w:rFonts w:ascii="Arial" w:hAnsi="Arial" w:cs="Arial"/>
          <w:sz w:val="22"/>
          <w:szCs w:val="22"/>
        </w:rPr>
        <w:t xml:space="preserve"> ČR</w:t>
      </w:r>
      <w:r w:rsidRPr="00032692">
        <w:rPr>
          <w:rFonts w:ascii="Arial" w:hAnsi="Arial" w:cs="Arial"/>
          <w:sz w:val="22"/>
          <w:szCs w:val="22"/>
        </w:rPr>
        <w:t xml:space="preserve">. V současné době probíhá ze strany agentury CzechInvest prověřování podané žádosti. Celkové způsobilé výdaje </w:t>
      </w:r>
      <w:r w:rsidR="00D74EAC" w:rsidRPr="00032692">
        <w:rPr>
          <w:rFonts w:ascii="Arial" w:hAnsi="Arial" w:cs="Arial"/>
          <w:sz w:val="22"/>
          <w:szCs w:val="22"/>
        </w:rPr>
        <w:t>činí</w:t>
      </w:r>
      <w:r w:rsidR="008101DF" w:rsidRPr="00032692">
        <w:rPr>
          <w:rFonts w:ascii="Arial" w:hAnsi="Arial" w:cs="Arial"/>
          <w:sz w:val="22"/>
          <w:szCs w:val="22"/>
        </w:rPr>
        <w:t xml:space="preserve"> </w:t>
      </w:r>
      <w:r w:rsidR="00F26505" w:rsidRPr="00032692">
        <w:rPr>
          <w:rFonts w:ascii="Arial" w:hAnsi="Arial" w:cs="Arial"/>
          <w:sz w:val="22"/>
          <w:szCs w:val="22"/>
        </w:rPr>
        <w:t xml:space="preserve">1015,2 mil. Kč vč. DPH. </w:t>
      </w:r>
      <w:r w:rsidR="00777BAF" w:rsidRPr="00032692">
        <w:rPr>
          <w:rFonts w:ascii="Arial" w:hAnsi="Arial" w:cs="Arial"/>
          <w:sz w:val="22"/>
          <w:szCs w:val="22"/>
        </w:rPr>
        <w:t>Z</w:t>
      </w:r>
      <w:r w:rsidRPr="00032692">
        <w:rPr>
          <w:rFonts w:ascii="Arial" w:hAnsi="Arial" w:cs="Arial"/>
          <w:sz w:val="22"/>
          <w:szCs w:val="22"/>
        </w:rPr>
        <w:t xml:space="preserve"> toho prostředky dotace nesmí přesáhnout částku 750 mil. Kč. </w:t>
      </w:r>
      <w:r w:rsidR="00777BAF" w:rsidRPr="00032692">
        <w:rPr>
          <w:rFonts w:ascii="Arial" w:hAnsi="Arial" w:cs="Arial"/>
          <w:sz w:val="22"/>
          <w:szCs w:val="22"/>
        </w:rPr>
        <w:t>Do způsobilých výdajů akce nejsou zahrnuty náklady spojené s výkupem pozemků.</w:t>
      </w:r>
      <w:r w:rsidR="000C1981" w:rsidRPr="00032692">
        <w:rPr>
          <w:rFonts w:ascii="Arial" w:hAnsi="Arial" w:cs="Arial"/>
          <w:sz w:val="22"/>
          <w:szCs w:val="22"/>
        </w:rPr>
        <w:t xml:space="preserve"> </w:t>
      </w:r>
    </w:p>
    <w:p w:rsidR="00574ADB" w:rsidRPr="00032692" w:rsidRDefault="00F26505" w:rsidP="00777BAF">
      <w:pPr>
        <w:spacing w:after="120" w:line="360" w:lineRule="auto"/>
        <w:jc w:val="both"/>
        <w:rPr>
          <w:rFonts w:ascii="Arial" w:hAnsi="Arial" w:cs="Arial"/>
          <w:sz w:val="22"/>
          <w:szCs w:val="22"/>
        </w:rPr>
      </w:pPr>
      <w:r w:rsidRPr="00032692">
        <w:rPr>
          <w:rFonts w:ascii="Arial" w:hAnsi="Arial" w:cs="Arial"/>
          <w:sz w:val="22"/>
          <w:szCs w:val="22"/>
        </w:rPr>
        <w:t>Po doložení územních rozhodnutí</w:t>
      </w:r>
      <w:r w:rsidR="00777BAF" w:rsidRPr="00032692">
        <w:rPr>
          <w:rFonts w:ascii="Arial" w:hAnsi="Arial" w:cs="Arial"/>
          <w:sz w:val="22"/>
          <w:szCs w:val="22"/>
        </w:rPr>
        <w:t xml:space="preserve"> v právní moci </w:t>
      </w:r>
      <w:r w:rsidR="00574ADB" w:rsidRPr="00032692">
        <w:rPr>
          <w:rFonts w:ascii="Arial" w:hAnsi="Arial" w:cs="Arial"/>
          <w:sz w:val="22"/>
          <w:szCs w:val="22"/>
        </w:rPr>
        <w:t xml:space="preserve">a výše uvedených posouzeních </w:t>
      </w:r>
      <w:r w:rsidR="00777BAF" w:rsidRPr="00032692">
        <w:rPr>
          <w:rFonts w:ascii="Arial" w:hAnsi="Arial" w:cs="Arial"/>
          <w:sz w:val="22"/>
          <w:szCs w:val="22"/>
        </w:rPr>
        <w:t>bude akce předložena mezirezortní hodnotitels</w:t>
      </w:r>
      <w:r w:rsidR="003D1320" w:rsidRPr="00032692">
        <w:rPr>
          <w:rFonts w:ascii="Arial" w:hAnsi="Arial" w:cs="Arial"/>
          <w:sz w:val="22"/>
          <w:szCs w:val="22"/>
        </w:rPr>
        <w:t xml:space="preserve">ké komisi, </w:t>
      </w:r>
      <w:r w:rsidR="00574ADB" w:rsidRPr="00032692">
        <w:rPr>
          <w:rFonts w:ascii="Arial" w:hAnsi="Arial" w:cs="Arial"/>
          <w:sz w:val="22"/>
          <w:szCs w:val="22"/>
        </w:rPr>
        <w:t xml:space="preserve">která akci doporučí/nedoporučí Správci programu. </w:t>
      </w:r>
      <w:r w:rsidR="003D1320" w:rsidRPr="00032692">
        <w:rPr>
          <w:rFonts w:ascii="Arial" w:hAnsi="Arial" w:cs="Arial"/>
          <w:sz w:val="22"/>
          <w:szCs w:val="22"/>
        </w:rPr>
        <w:t xml:space="preserve"> S</w:t>
      </w:r>
      <w:r w:rsidR="00777BAF" w:rsidRPr="00032692">
        <w:rPr>
          <w:rFonts w:ascii="Arial" w:hAnsi="Arial" w:cs="Arial"/>
          <w:sz w:val="22"/>
          <w:szCs w:val="22"/>
        </w:rPr>
        <w:t>právce programu vydá registrační list</w:t>
      </w:r>
      <w:r w:rsidR="00574ADB" w:rsidRPr="00032692">
        <w:rPr>
          <w:rFonts w:ascii="Arial" w:hAnsi="Arial" w:cs="Arial"/>
          <w:sz w:val="22"/>
          <w:szCs w:val="22"/>
        </w:rPr>
        <w:t xml:space="preserve"> nebo žádost zamítne. </w:t>
      </w:r>
    </w:p>
    <w:p w:rsidR="000D7C3D" w:rsidRPr="00032692" w:rsidRDefault="00574ADB" w:rsidP="000D7C3D">
      <w:pPr>
        <w:spacing w:after="120" w:line="360" w:lineRule="auto"/>
        <w:jc w:val="both"/>
        <w:rPr>
          <w:rFonts w:ascii="Arial" w:hAnsi="Arial" w:cs="Arial"/>
          <w:sz w:val="22"/>
          <w:szCs w:val="22"/>
        </w:rPr>
      </w:pPr>
      <w:r w:rsidRPr="00032692">
        <w:rPr>
          <w:rFonts w:ascii="Arial" w:hAnsi="Arial" w:cs="Arial"/>
          <w:sz w:val="22"/>
          <w:szCs w:val="22"/>
        </w:rPr>
        <w:t>Ž</w:t>
      </w:r>
      <w:r w:rsidR="00777BAF" w:rsidRPr="00032692">
        <w:rPr>
          <w:rFonts w:ascii="Arial" w:hAnsi="Arial" w:cs="Arial"/>
          <w:sz w:val="22"/>
          <w:szCs w:val="22"/>
        </w:rPr>
        <w:t xml:space="preserve">ádost o vydání rozhodnutí o poskytnutí dotace </w:t>
      </w:r>
      <w:r w:rsidRPr="00032692">
        <w:rPr>
          <w:rFonts w:ascii="Arial" w:hAnsi="Arial" w:cs="Arial"/>
          <w:sz w:val="22"/>
          <w:szCs w:val="22"/>
        </w:rPr>
        <w:t>bude po</w:t>
      </w:r>
      <w:r w:rsidR="00777BAF" w:rsidRPr="00032692">
        <w:rPr>
          <w:rFonts w:ascii="Arial" w:hAnsi="Arial" w:cs="Arial"/>
          <w:sz w:val="22"/>
          <w:szCs w:val="22"/>
        </w:rPr>
        <w:t xml:space="preserve"> doložení nezbytných podkladů stanovených v programu PPNI opět </w:t>
      </w:r>
      <w:r w:rsidRPr="00032692">
        <w:rPr>
          <w:rFonts w:ascii="Arial" w:hAnsi="Arial" w:cs="Arial"/>
          <w:sz w:val="22"/>
          <w:szCs w:val="22"/>
        </w:rPr>
        <w:t>p</w:t>
      </w:r>
      <w:r w:rsidR="00777BAF" w:rsidRPr="00032692">
        <w:rPr>
          <w:rFonts w:ascii="Arial" w:hAnsi="Arial" w:cs="Arial"/>
          <w:sz w:val="22"/>
          <w:szCs w:val="22"/>
        </w:rPr>
        <w:t>rojednán</w:t>
      </w:r>
      <w:r w:rsidRPr="00032692">
        <w:rPr>
          <w:rFonts w:ascii="Arial" w:hAnsi="Arial" w:cs="Arial"/>
          <w:sz w:val="22"/>
          <w:szCs w:val="22"/>
        </w:rPr>
        <w:t>a</w:t>
      </w:r>
      <w:r w:rsidR="00777BAF" w:rsidRPr="00032692">
        <w:rPr>
          <w:rFonts w:ascii="Arial" w:hAnsi="Arial" w:cs="Arial"/>
          <w:sz w:val="22"/>
          <w:szCs w:val="22"/>
        </w:rPr>
        <w:t xml:space="preserve"> v mezirezortní hodnotitelské komisi, </w:t>
      </w:r>
      <w:r w:rsidRPr="00032692">
        <w:rPr>
          <w:rFonts w:ascii="Arial" w:hAnsi="Arial" w:cs="Arial"/>
          <w:sz w:val="22"/>
          <w:szCs w:val="22"/>
        </w:rPr>
        <w:t xml:space="preserve">která žádost doporučí nebo nedoporučí správci programu. Správce programu </w:t>
      </w:r>
      <w:r w:rsidR="00777BAF" w:rsidRPr="00032692">
        <w:rPr>
          <w:rFonts w:ascii="Arial" w:hAnsi="Arial" w:cs="Arial"/>
          <w:sz w:val="22"/>
          <w:szCs w:val="22"/>
        </w:rPr>
        <w:t>vydá rozhodnutí o</w:t>
      </w:r>
      <w:r w:rsidR="006E0F65" w:rsidRPr="00032692">
        <w:rPr>
          <w:rFonts w:ascii="Arial" w:hAnsi="Arial" w:cs="Arial"/>
          <w:sz w:val="22"/>
          <w:szCs w:val="22"/>
        </w:rPr>
        <w:t> </w:t>
      </w:r>
      <w:r w:rsidR="00777BAF" w:rsidRPr="00032692">
        <w:rPr>
          <w:rFonts w:ascii="Arial" w:hAnsi="Arial" w:cs="Arial"/>
          <w:sz w:val="22"/>
          <w:szCs w:val="22"/>
        </w:rPr>
        <w:t>poskytnutí dotace</w:t>
      </w:r>
      <w:r w:rsidRPr="00032692">
        <w:rPr>
          <w:rFonts w:ascii="Arial" w:hAnsi="Arial" w:cs="Arial"/>
          <w:sz w:val="22"/>
          <w:szCs w:val="22"/>
        </w:rPr>
        <w:t xml:space="preserve"> nebo žádost zamítne.</w:t>
      </w:r>
      <w:r w:rsidR="0001356B" w:rsidRPr="00032692">
        <w:rPr>
          <w:rFonts w:ascii="Arial" w:hAnsi="Arial" w:cs="Arial"/>
          <w:sz w:val="22"/>
          <w:szCs w:val="22"/>
        </w:rPr>
        <w:t xml:space="preserve"> </w:t>
      </w:r>
      <w:r w:rsidR="000D7C3D" w:rsidRPr="00032692">
        <w:rPr>
          <w:rFonts w:ascii="Arial" w:hAnsi="Arial" w:cs="Arial"/>
          <w:sz w:val="22"/>
          <w:szCs w:val="22"/>
        </w:rPr>
        <w:t xml:space="preserve">Následně budou, po předložení faktur, uvolňovány finanční prostředky. </w:t>
      </w:r>
    </w:p>
    <w:p w:rsidR="000614C9" w:rsidRPr="00032692" w:rsidRDefault="000614C9" w:rsidP="000614C9">
      <w:pPr>
        <w:spacing w:after="120" w:line="360" w:lineRule="auto"/>
        <w:jc w:val="both"/>
        <w:rPr>
          <w:rFonts w:ascii="Arial" w:hAnsi="Arial" w:cs="Arial"/>
          <w:sz w:val="22"/>
          <w:szCs w:val="22"/>
        </w:rPr>
      </w:pPr>
      <w:r w:rsidRPr="00032692">
        <w:rPr>
          <w:rFonts w:ascii="Arial" w:hAnsi="Arial" w:cs="Arial"/>
          <w:sz w:val="22"/>
          <w:szCs w:val="22"/>
        </w:rPr>
        <w:t>Účelnost a hospodárnost výdajů (čili posouzení souladu s cenami obvyklými) je prováděna na několika úrovních. Po projednání vládou a před registrací akce v systému pro financování musí být znám položkový rozpočet, který je podroben zhodnocení nákladů ze strany agentury CzechInvest a MPO (k tomu účelu slouží posudky externích odborníků)</w:t>
      </w:r>
      <w:r w:rsidR="00E54EFD" w:rsidRPr="00032692">
        <w:rPr>
          <w:rFonts w:ascii="Arial" w:hAnsi="Arial" w:cs="Arial"/>
          <w:sz w:val="22"/>
          <w:szCs w:val="22"/>
        </w:rPr>
        <w:t>. P</w:t>
      </w:r>
      <w:r w:rsidRPr="00032692">
        <w:rPr>
          <w:rFonts w:ascii="Arial" w:hAnsi="Arial" w:cs="Arial"/>
          <w:sz w:val="22"/>
          <w:szCs w:val="22"/>
        </w:rPr>
        <w:t>o zaregistrování do systému jsou jednotlivé stavební objekty soutěženy v souladu s pravidly zákona o veřejných zakázkách, kde je opět kladen zásadní důraz na hospodárnost. Teprve poté jsou jednotlivé stavební akce zahrnuty do rozhodnutí o poskytnutí podpory (je známa konečná cena za jednotlivé objekty po tendrech)</w:t>
      </w:r>
      <w:r w:rsidR="00E54EFD" w:rsidRPr="00032692">
        <w:rPr>
          <w:rFonts w:ascii="Arial" w:hAnsi="Arial" w:cs="Arial"/>
          <w:sz w:val="22"/>
          <w:szCs w:val="22"/>
        </w:rPr>
        <w:t>. T</w:t>
      </w:r>
      <w:r w:rsidRPr="00032692">
        <w:rPr>
          <w:rFonts w:ascii="Arial" w:hAnsi="Arial" w:cs="Arial"/>
          <w:sz w:val="22"/>
          <w:szCs w:val="22"/>
        </w:rPr>
        <w:t xml:space="preserve">oto rozhodnutí teprve představuje závazek financování. Poté </w:t>
      </w:r>
      <w:r w:rsidR="008101DF" w:rsidRPr="00032692">
        <w:rPr>
          <w:rFonts w:ascii="Arial" w:hAnsi="Arial" w:cs="Arial"/>
          <w:sz w:val="22"/>
          <w:szCs w:val="22"/>
        </w:rPr>
        <w:t>v průběhu</w:t>
      </w:r>
      <w:r w:rsidRPr="00032692">
        <w:rPr>
          <w:rFonts w:ascii="Arial" w:hAnsi="Arial" w:cs="Arial"/>
          <w:sz w:val="22"/>
          <w:szCs w:val="22"/>
        </w:rPr>
        <w:t xml:space="preserve"> realizace jednotlivých staveb </w:t>
      </w:r>
      <w:r w:rsidR="008101DF" w:rsidRPr="00032692">
        <w:rPr>
          <w:rFonts w:ascii="Arial" w:hAnsi="Arial" w:cs="Arial"/>
          <w:sz w:val="22"/>
          <w:szCs w:val="22"/>
        </w:rPr>
        <w:t xml:space="preserve">jsou podávány </w:t>
      </w:r>
      <w:r w:rsidRPr="00032692">
        <w:rPr>
          <w:rFonts w:ascii="Arial" w:hAnsi="Arial" w:cs="Arial"/>
          <w:sz w:val="22"/>
          <w:szCs w:val="22"/>
        </w:rPr>
        <w:t xml:space="preserve">žádosti o </w:t>
      </w:r>
      <w:r w:rsidRPr="00032692">
        <w:rPr>
          <w:rFonts w:ascii="Arial" w:hAnsi="Arial" w:cs="Arial"/>
          <w:sz w:val="22"/>
          <w:szCs w:val="22"/>
        </w:rPr>
        <w:lastRenderedPageBreak/>
        <w:t>proplacení realizovaných výdajů</w:t>
      </w:r>
      <w:r w:rsidR="008101DF" w:rsidRPr="00032692">
        <w:rPr>
          <w:rFonts w:ascii="Arial" w:hAnsi="Arial" w:cs="Arial"/>
          <w:sz w:val="22"/>
          <w:szCs w:val="22"/>
        </w:rPr>
        <w:t xml:space="preserve"> průběžně a současně probíhá kontrola</w:t>
      </w:r>
      <w:r w:rsidRPr="00032692">
        <w:rPr>
          <w:rFonts w:ascii="Arial" w:hAnsi="Arial" w:cs="Arial"/>
          <w:sz w:val="22"/>
          <w:szCs w:val="22"/>
        </w:rPr>
        <w:t xml:space="preserve"> provedených prací ze strany supervizní organizace</w:t>
      </w:r>
      <w:r w:rsidR="008101DF" w:rsidRPr="00032692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8101DF" w:rsidRPr="00032692">
        <w:rPr>
          <w:rFonts w:ascii="Arial" w:hAnsi="Arial" w:cs="Arial"/>
          <w:sz w:val="22"/>
          <w:szCs w:val="22"/>
        </w:rPr>
        <w:t>CzechInvestu</w:t>
      </w:r>
      <w:proofErr w:type="spellEnd"/>
      <w:r w:rsidRPr="00032692">
        <w:rPr>
          <w:rFonts w:ascii="Arial" w:hAnsi="Arial" w:cs="Arial"/>
          <w:sz w:val="22"/>
          <w:szCs w:val="22"/>
        </w:rPr>
        <w:t>, kter</w:t>
      </w:r>
      <w:r w:rsidR="008101DF" w:rsidRPr="00032692">
        <w:rPr>
          <w:rFonts w:ascii="Arial" w:hAnsi="Arial" w:cs="Arial"/>
          <w:sz w:val="22"/>
          <w:szCs w:val="22"/>
        </w:rPr>
        <w:t>á</w:t>
      </w:r>
      <w:r w:rsidRPr="00032692">
        <w:rPr>
          <w:rFonts w:ascii="Arial" w:hAnsi="Arial" w:cs="Arial"/>
          <w:sz w:val="22"/>
          <w:szCs w:val="22"/>
        </w:rPr>
        <w:t xml:space="preserve"> potvrzuje, že práce byly provedeny v deklarovaném rozsahu.</w:t>
      </w:r>
    </w:p>
    <w:p w:rsidR="00777BAF" w:rsidRPr="00032692" w:rsidRDefault="00EB1ACC" w:rsidP="00777BAF">
      <w:pPr>
        <w:spacing w:after="120" w:line="360" w:lineRule="auto"/>
        <w:jc w:val="both"/>
        <w:rPr>
          <w:rFonts w:ascii="Arial" w:hAnsi="Arial" w:cs="Arial"/>
          <w:sz w:val="22"/>
          <w:szCs w:val="22"/>
        </w:rPr>
      </w:pPr>
      <w:r w:rsidRPr="00032692">
        <w:rPr>
          <w:rFonts w:ascii="Arial" w:hAnsi="Arial" w:cs="Arial"/>
          <w:sz w:val="22"/>
          <w:szCs w:val="22"/>
        </w:rPr>
        <w:t>V MSK bylo doposud z</w:t>
      </w:r>
      <w:r w:rsidR="00AD4412" w:rsidRPr="00032692">
        <w:rPr>
          <w:rFonts w:ascii="Arial" w:hAnsi="Arial" w:cs="Arial"/>
          <w:sz w:val="22"/>
          <w:szCs w:val="22"/>
        </w:rPr>
        <w:t xml:space="preserve">e státních prostředků podpořeno 12 průmyslových zón. </w:t>
      </w:r>
      <w:r w:rsidR="003D1320" w:rsidRPr="00032692">
        <w:rPr>
          <w:rFonts w:ascii="Arial" w:hAnsi="Arial" w:cs="Arial"/>
          <w:sz w:val="22"/>
          <w:szCs w:val="22"/>
        </w:rPr>
        <w:t>D</w:t>
      </w:r>
      <w:r w:rsidR="00AD4412" w:rsidRPr="00032692">
        <w:rPr>
          <w:rFonts w:ascii="Arial" w:hAnsi="Arial" w:cs="Arial"/>
          <w:sz w:val="22"/>
          <w:szCs w:val="22"/>
        </w:rPr>
        <w:t xml:space="preserve">le dostupných informací agentury CzechInvest </w:t>
      </w:r>
      <w:r w:rsidR="0001356B" w:rsidRPr="00032692">
        <w:rPr>
          <w:rFonts w:ascii="Arial" w:hAnsi="Arial" w:cs="Arial"/>
          <w:sz w:val="22"/>
          <w:szCs w:val="22"/>
        </w:rPr>
        <w:t xml:space="preserve">tyto </w:t>
      </w:r>
      <w:r w:rsidR="00AD4412" w:rsidRPr="00032692">
        <w:rPr>
          <w:rFonts w:ascii="Arial" w:hAnsi="Arial" w:cs="Arial"/>
          <w:sz w:val="22"/>
          <w:szCs w:val="22"/>
        </w:rPr>
        <w:t xml:space="preserve">průmyslové zóny přinesly </w:t>
      </w:r>
      <w:r w:rsidR="000D7C3D" w:rsidRPr="00032692">
        <w:rPr>
          <w:rFonts w:ascii="Arial" w:hAnsi="Arial" w:cs="Arial"/>
          <w:sz w:val="22"/>
          <w:szCs w:val="22"/>
        </w:rPr>
        <w:t>více než 23 </w:t>
      </w:r>
      <w:r w:rsidR="000777BA" w:rsidRPr="00032692">
        <w:rPr>
          <w:rFonts w:ascii="Arial" w:hAnsi="Arial" w:cs="Arial"/>
          <w:sz w:val="22"/>
          <w:szCs w:val="22"/>
        </w:rPr>
        <w:t>7</w:t>
      </w:r>
      <w:r w:rsidR="000D7C3D" w:rsidRPr="00032692">
        <w:rPr>
          <w:rFonts w:ascii="Arial" w:hAnsi="Arial" w:cs="Arial"/>
          <w:sz w:val="22"/>
          <w:szCs w:val="22"/>
        </w:rPr>
        <w:t xml:space="preserve">00 </w:t>
      </w:r>
      <w:r w:rsidR="00AD4412" w:rsidRPr="00032692">
        <w:rPr>
          <w:rFonts w:ascii="Arial" w:hAnsi="Arial" w:cs="Arial"/>
          <w:sz w:val="22"/>
          <w:szCs w:val="22"/>
        </w:rPr>
        <w:t xml:space="preserve">nových pracovních míst a výše investice investorů činila </w:t>
      </w:r>
      <w:r w:rsidR="000D7C3D" w:rsidRPr="00032692">
        <w:rPr>
          <w:rFonts w:ascii="Arial" w:hAnsi="Arial" w:cs="Arial"/>
          <w:sz w:val="22"/>
          <w:szCs w:val="22"/>
        </w:rPr>
        <w:t xml:space="preserve">necelých 40,5 </w:t>
      </w:r>
      <w:r w:rsidR="00AD4412" w:rsidRPr="00032692">
        <w:rPr>
          <w:rFonts w:ascii="Arial" w:hAnsi="Arial" w:cs="Arial"/>
          <w:sz w:val="22"/>
          <w:szCs w:val="22"/>
        </w:rPr>
        <w:t>ml</w:t>
      </w:r>
      <w:r w:rsidR="000D7C3D" w:rsidRPr="00032692">
        <w:rPr>
          <w:rFonts w:ascii="Arial" w:hAnsi="Arial" w:cs="Arial"/>
          <w:sz w:val="22"/>
          <w:szCs w:val="22"/>
        </w:rPr>
        <w:t>d</w:t>
      </w:r>
      <w:r w:rsidR="00AD4412" w:rsidRPr="00032692">
        <w:rPr>
          <w:rFonts w:ascii="Arial" w:hAnsi="Arial" w:cs="Arial"/>
          <w:sz w:val="22"/>
          <w:szCs w:val="22"/>
        </w:rPr>
        <w:t>. Kč. Obsazeno</w:t>
      </w:r>
      <w:r w:rsidR="00E001B9" w:rsidRPr="00032692">
        <w:rPr>
          <w:rFonts w:ascii="Arial" w:hAnsi="Arial" w:cs="Arial"/>
          <w:sz w:val="22"/>
          <w:szCs w:val="22"/>
        </w:rPr>
        <w:t>st průmyslových zón</w:t>
      </w:r>
      <w:r w:rsidR="000D7C3D" w:rsidRPr="00032692">
        <w:rPr>
          <w:rFonts w:ascii="Arial" w:hAnsi="Arial" w:cs="Arial"/>
          <w:sz w:val="22"/>
          <w:szCs w:val="22"/>
        </w:rPr>
        <w:t xml:space="preserve"> podpořených ze státního rozpočtu </w:t>
      </w:r>
      <w:r w:rsidR="00E001B9" w:rsidRPr="00032692">
        <w:rPr>
          <w:rFonts w:ascii="Arial" w:hAnsi="Arial" w:cs="Arial"/>
          <w:sz w:val="22"/>
          <w:szCs w:val="22"/>
        </w:rPr>
        <w:t>je zhruba 8</w:t>
      </w:r>
      <w:r w:rsidR="000D7C3D" w:rsidRPr="00032692">
        <w:rPr>
          <w:rFonts w:ascii="Arial" w:hAnsi="Arial" w:cs="Arial"/>
          <w:sz w:val="22"/>
          <w:szCs w:val="22"/>
        </w:rPr>
        <w:t>7%</w:t>
      </w:r>
      <w:r w:rsidR="00AD4412" w:rsidRPr="00032692">
        <w:rPr>
          <w:rFonts w:ascii="Arial" w:hAnsi="Arial" w:cs="Arial"/>
          <w:sz w:val="22"/>
          <w:szCs w:val="22"/>
        </w:rPr>
        <w:t>.</w:t>
      </w:r>
    </w:p>
    <w:p w:rsidR="00173F7B" w:rsidRPr="00032692" w:rsidRDefault="00173F7B" w:rsidP="00777BAF">
      <w:pPr>
        <w:spacing w:after="120" w:line="360" w:lineRule="auto"/>
        <w:jc w:val="both"/>
        <w:rPr>
          <w:rFonts w:ascii="Arial" w:hAnsi="Arial" w:cs="Arial"/>
          <w:sz w:val="22"/>
          <w:szCs w:val="22"/>
        </w:rPr>
      </w:pPr>
    </w:p>
    <w:p w:rsidR="00173F7B" w:rsidRPr="00032692" w:rsidRDefault="00173F7B" w:rsidP="00173F7B">
      <w:pPr>
        <w:spacing w:after="120" w:line="360" w:lineRule="auto"/>
        <w:jc w:val="both"/>
        <w:rPr>
          <w:rFonts w:ascii="Arial" w:hAnsi="Arial" w:cs="Arial"/>
          <w:sz w:val="22"/>
          <w:szCs w:val="22"/>
        </w:rPr>
      </w:pPr>
      <w:r w:rsidRPr="00032692">
        <w:rPr>
          <w:rFonts w:ascii="Arial" w:hAnsi="Arial" w:cs="Arial"/>
          <w:sz w:val="22"/>
          <w:szCs w:val="22"/>
        </w:rPr>
        <w:t>Závěr:</w:t>
      </w:r>
    </w:p>
    <w:p w:rsidR="00173F7B" w:rsidRPr="00032692" w:rsidRDefault="00173F7B" w:rsidP="00173F7B">
      <w:pPr>
        <w:spacing w:after="120" w:line="360" w:lineRule="auto"/>
        <w:jc w:val="both"/>
        <w:rPr>
          <w:rFonts w:ascii="Arial" w:hAnsi="Arial" w:cs="Arial"/>
          <w:sz w:val="22"/>
          <w:szCs w:val="22"/>
        </w:rPr>
      </w:pPr>
    </w:p>
    <w:p w:rsidR="00173F7B" w:rsidRPr="00032692" w:rsidRDefault="00173F7B" w:rsidP="00173F7B">
      <w:pPr>
        <w:pStyle w:val="Odstavecseseznamem"/>
        <w:numPr>
          <w:ilvl w:val="0"/>
          <w:numId w:val="5"/>
        </w:numPr>
        <w:overflowPunct w:val="0"/>
        <w:autoSpaceDE w:val="0"/>
        <w:autoSpaceDN w:val="0"/>
        <w:adjustRightInd w:val="0"/>
        <w:spacing w:after="120" w:line="360" w:lineRule="auto"/>
        <w:jc w:val="both"/>
        <w:textAlignment w:val="baseline"/>
        <w:rPr>
          <w:rFonts w:ascii="Arial" w:hAnsi="Arial" w:cs="Arial"/>
          <w:sz w:val="22"/>
          <w:szCs w:val="22"/>
        </w:rPr>
      </w:pPr>
      <w:r w:rsidRPr="00032692">
        <w:rPr>
          <w:rFonts w:ascii="Arial" w:hAnsi="Arial" w:cs="Arial"/>
          <w:sz w:val="22"/>
          <w:szCs w:val="22"/>
        </w:rPr>
        <w:t>Průmyslová zóna nad Barboru je ze všech do úvahy přicházejících brownfieldových lokalit v regionu města Karviná nejméně postižena důlní činností a ostatními riziky</w:t>
      </w:r>
      <w:r w:rsidR="00375547">
        <w:rPr>
          <w:rFonts w:ascii="Arial" w:hAnsi="Arial" w:cs="Arial"/>
          <w:sz w:val="22"/>
          <w:szCs w:val="22"/>
        </w:rPr>
        <w:t xml:space="preserve"> (limity využití území)</w:t>
      </w:r>
      <w:r w:rsidRPr="00032692">
        <w:rPr>
          <w:rFonts w:ascii="Arial" w:hAnsi="Arial" w:cs="Arial"/>
          <w:sz w:val="22"/>
          <w:szCs w:val="22"/>
        </w:rPr>
        <w:t xml:space="preserve">. </w:t>
      </w:r>
    </w:p>
    <w:p w:rsidR="00173F7B" w:rsidRPr="00032692" w:rsidRDefault="00173F7B" w:rsidP="00173F7B">
      <w:pPr>
        <w:pStyle w:val="Odstavecseseznamem"/>
        <w:numPr>
          <w:ilvl w:val="0"/>
          <w:numId w:val="5"/>
        </w:numPr>
        <w:overflowPunct w:val="0"/>
        <w:autoSpaceDE w:val="0"/>
        <w:autoSpaceDN w:val="0"/>
        <w:adjustRightInd w:val="0"/>
        <w:spacing w:after="120" w:line="360" w:lineRule="auto"/>
        <w:jc w:val="both"/>
        <w:textAlignment w:val="baseline"/>
        <w:rPr>
          <w:rFonts w:ascii="Arial" w:hAnsi="Arial" w:cs="Arial"/>
          <w:sz w:val="22"/>
          <w:szCs w:val="22"/>
        </w:rPr>
      </w:pPr>
      <w:r w:rsidRPr="00032692">
        <w:rPr>
          <w:rFonts w:ascii="Arial" w:hAnsi="Arial" w:cs="Arial"/>
          <w:sz w:val="22"/>
          <w:szCs w:val="22"/>
        </w:rPr>
        <w:t xml:space="preserve">Svojí velikostí zóna Nad Barborou /89ha/ a geografickým umístěním v rámci regionu vč. dopravní dostupnosti nejlépe vyhovuje požadavkům potenciálních investorů </w:t>
      </w:r>
    </w:p>
    <w:p w:rsidR="00173F7B" w:rsidRPr="00032692" w:rsidRDefault="00173F7B" w:rsidP="00173F7B">
      <w:pPr>
        <w:pStyle w:val="Odstavecseseznamem"/>
        <w:numPr>
          <w:ilvl w:val="0"/>
          <w:numId w:val="5"/>
        </w:numPr>
        <w:overflowPunct w:val="0"/>
        <w:autoSpaceDE w:val="0"/>
        <w:autoSpaceDN w:val="0"/>
        <w:adjustRightInd w:val="0"/>
        <w:spacing w:after="120" w:line="360" w:lineRule="auto"/>
        <w:jc w:val="both"/>
        <w:textAlignment w:val="baseline"/>
        <w:rPr>
          <w:rFonts w:ascii="Arial" w:hAnsi="Arial" w:cs="Arial"/>
          <w:sz w:val="22"/>
          <w:szCs w:val="22"/>
        </w:rPr>
      </w:pPr>
      <w:r w:rsidRPr="00032692">
        <w:rPr>
          <w:rFonts w:ascii="Arial" w:hAnsi="Arial" w:cs="Arial"/>
          <w:sz w:val="22"/>
          <w:szCs w:val="22"/>
        </w:rPr>
        <w:t xml:space="preserve">MSK a jmenovitě oblast Karviné je nejvíce ohrožena předpokládaným útlumem hornické </w:t>
      </w:r>
      <w:proofErr w:type="gramStart"/>
      <w:r w:rsidRPr="00032692">
        <w:rPr>
          <w:rFonts w:ascii="Arial" w:hAnsi="Arial" w:cs="Arial"/>
          <w:sz w:val="22"/>
          <w:szCs w:val="22"/>
        </w:rPr>
        <w:t xml:space="preserve">činnosti </w:t>
      </w:r>
      <w:r w:rsidR="00375547">
        <w:rPr>
          <w:rFonts w:ascii="Arial" w:hAnsi="Arial" w:cs="Arial"/>
          <w:sz w:val="22"/>
          <w:szCs w:val="22"/>
        </w:rPr>
        <w:t xml:space="preserve"> v budoucnu</w:t>
      </w:r>
      <w:proofErr w:type="gramEnd"/>
      <w:r w:rsidR="00375547">
        <w:rPr>
          <w:rFonts w:ascii="Arial" w:hAnsi="Arial" w:cs="Arial"/>
          <w:sz w:val="22"/>
          <w:szCs w:val="22"/>
        </w:rPr>
        <w:t xml:space="preserve"> </w:t>
      </w:r>
      <w:r w:rsidRPr="00032692">
        <w:rPr>
          <w:rFonts w:ascii="Arial" w:hAnsi="Arial" w:cs="Arial"/>
          <w:sz w:val="22"/>
          <w:szCs w:val="22"/>
        </w:rPr>
        <w:t>a proto je nutné v regionu mít připravenou SPZ.</w:t>
      </w:r>
    </w:p>
    <w:p w:rsidR="00173F7B" w:rsidRPr="00032692" w:rsidRDefault="00173F7B" w:rsidP="00173F7B">
      <w:pPr>
        <w:pStyle w:val="Odstavecseseznamem"/>
        <w:numPr>
          <w:ilvl w:val="0"/>
          <w:numId w:val="5"/>
        </w:numPr>
        <w:overflowPunct w:val="0"/>
        <w:autoSpaceDE w:val="0"/>
        <w:autoSpaceDN w:val="0"/>
        <w:adjustRightInd w:val="0"/>
        <w:spacing w:after="120" w:line="360" w:lineRule="auto"/>
        <w:jc w:val="both"/>
        <w:textAlignment w:val="baseline"/>
        <w:rPr>
          <w:rFonts w:ascii="Arial" w:hAnsi="Arial" w:cs="Arial"/>
          <w:sz w:val="22"/>
          <w:szCs w:val="22"/>
        </w:rPr>
      </w:pPr>
      <w:r w:rsidRPr="00032692">
        <w:rPr>
          <w:rFonts w:ascii="Arial" w:hAnsi="Arial" w:cs="Arial"/>
          <w:sz w:val="22"/>
          <w:szCs w:val="22"/>
        </w:rPr>
        <w:t xml:space="preserve">Od nástupu současné vlády byly provedeny všechny potřebné průzkumy a studie tak, aby byla minimalizována reálná ale i marketingová rizika spojená s touto lokalitou. </w:t>
      </w:r>
    </w:p>
    <w:p w:rsidR="00173F7B" w:rsidRPr="00032692" w:rsidRDefault="00173F7B" w:rsidP="00173F7B">
      <w:pPr>
        <w:pStyle w:val="Odstavecseseznamem"/>
        <w:numPr>
          <w:ilvl w:val="0"/>
          <w:numId w:val="5"/>
        </w:numPr>
        <w:overflowPunct w:val="0"/>
        <w:autoSpaceDE w:val="0"/>
        <w:autoSpaceDN w:val="0"/>
        <w:adjustRightInd w:val="0"/>
        <w:spacing w:after="120" w:line="360" w:lineRule="auto"/>
        <w:jc w:val="both"/>
        <w:textAlignment w:val="baseline"/>
        <w:rPr>
          <w:rFonts w:ascii="Arial" w:hAnsi="Arial" w:cs="Arial"/>
          <w:sz w:val="22"/>
          <w:szCs w:val="22"/>
        </w:rPr>
      </w:pPr>
      <w:r w:rsidRPr="00032692">
        <w:rPr>
          <w:rFonts w:ascii="Arial" w:hAnsi="Arial" w:cs="Arial"/>
          <w:sz w:val="22"/>
          <w:szCs w:val="22"/>
        </w:rPr>
        <w:t xml:space="preserve">Usnesení vlády č. 576 z 22. července 2015 upřesnilo a zpřísnilo podmínky pro uvolnění dotace určené usnesením vlády číslo 824 z 30. 10. 2013, mimo jiné požaduje zatřídění předmětné zóny </w:t>
      </w:r>
      <w:r w:rsidR="00231D68">
        <w:rPr>
          <w:rFonts w:ascii="Arial" w:hAnsi="Arial" w:cs="Arial"/>
          <w:sz w:val="22"/>
          <w:szCs w:val="22"/>
        </w:rPr>
        <w:t>v podobě přeřazení předmětné lokality z území ve vlivech důlní činnosti do území ovlivněného ukončenou důlní činností tak, aby došlo ke zmírnění podmínek ochrany ložisek a úpravě zatřídění staveniště na poddolovaném území.</w:t>
      </w:r>
    </w:p>
    <w:p w:rsidR="00173F7B" w:rsidRPr="00032692" w:rsidRDefault="00173F7B" w:rsidP="00173F7B">
      <w:pPr>
        <w:pStyle w:val="Odstavecseseznamem"/>
        <w:numPr>
          <w:ilvl w:val="0"/>
          <w:numId w:val="5"/>
        </w:numPr>
        <w:overflowPunct w:val="0"/>
        <w:autoSpaceDE w:val="0"/>
        <w:autoSpaceDN w:val="0"/>
        <w:adjustRightInd w:val="0"/>
        <w:spacing w:after="120" w:line="360" w:lineRule="auto"/>
        <w:jc w:val="both"/>
        <w:textAlignment w:val="baseline"/>
        <w:rPr>
          <w:rFonts w:ascii="Arial" w:hAnsi="Arial" w:cs="Arial"/>
          <w:sz w:val="22"/>
          <w:szCs w:val="22"/>
        </w:rPr>
      </w:pPr>
      <w:r w:rsidRPr="00032692">
        <w:rPr>
          <w:rFonts w:ascii="Arial" w:hAnsi="Arial" w:cs="Arial"/>
          <w:sz w:val="22"/>
          <w:szCs w:val="22"/>
        </w:rPr>
        <w:t xml:space="preserve">Lokalita SPZ nad Barborou je BF a plně tak její regenerace a využití pro strategickou průmyslovou zónu odpovídá Deklaraci o porozumění, kterou uzavřel dne 2. 11. 2006 MSK, společně s MPO, agenturou CzechInvest a společností Hyundai Motor </w:t>
      </w:r>
      <w:proofErr w:type="spellStart"/>
      <w:r w:rsidRPr="00032692">
        <w:rPr>
          <w:rFonts w:ascii="Arial" w:hAnsi="Arial" w:cs="Arial"/>
          <w:sz w:val="22"/>
          <w:szCs w:val="22"/>
        </w:rPr>
        <w:t>Manufacturing</w:t>
      </w:r>
      <w:proofErr w:type="spellEnd"/>
      <w:r w:rsidRPr="00032692">
        <w:rPr>
          <w:rFonts w:ascii="Arial" w:hAnsi="Arial" w:cs="Arial"/>
          <w:sz w:val="22"/>
          <w:szCs w:val="22"/>
        </w:rPr>
        <w:t xml:space="preserve"> Czech s r.o. s občanskými sdruženími při realizaci PZ Nošovice.</w:t>
      </w:r>
    </w:p>
    <w:p w:rsidR="00173F7B" w:rsidRPr="00032692" w:rsidRDefault="00173F7B" w:rsidP="00032692">
      <w:pPr>
        <w:overflowPunct w:val="0"/>
        <w:autoSpaceDE w:val="0"/>
        <w:autoSpaceDN w:val="0"/>
        <w:adjustRightInd w:val="0"/>
        <w:spacing w:after="120" w:line="360" w:lineRule="auto"/>
        <w:ind w:left="360"/>
        <w:jc w:val="both"/>
        <w:textAlignment w:val="baseline"/>
        <w:rPr>
          <w:rFonts w:ascii="Arial" w:hAnsi="Arial" w:cs="Arial"/>
          <w:sz w:val="22"/>
          <w:szCs w:val="22"/>
        </w:rPr>
      </w:pPr>
    </w:p>
    <w:p w:rsidR="003425DB" w:rsidRPr="00032692" w:rsidRDefault="003425DB" w:rsidP="005529CD">
      <w:pPr>
        <w:spacing w:after="120" w:line="360" w:lineRule="auto"/>
        <w:jc w:val="both"/>
        <w:rPr>
          <w:rFonts w:ascii="Arial" w:hAnsi="Arial" w:cs="Arial"/>
          <w:sz w:val="22"/>
          <w:szCs w:val="22"/>
        </w:rPr>
      </w:pPr>
    </w:p>
    <w:p w:rsidR="00D77241" w:rsidRPr="00032692" w:rsidRDefault="00D77241" w:rsidP="00AB0F4B">
      <w:pPr>
        <w:spacing w:before="240" w:after="120" w:line="360" w:lineRule="auto"/>
        <w:jc w:val="both"/>
        <w:rPr>
          <w:rFonts w:ascii="Arial" w:hAnsi="Arial" w:cs="Arial"/>
          <w:sz w:val="22"/>
          <w:szCs w:val="22"/>
        </w:rPr>
      </w:pPr>
    </w:p>
    <w:p w:rsidR="00742233" w:rsidRPr="00032692" w:rsidRDefault="00742233" w:rsidP="00AB0F4B">
      <w:pPr>
        <w:spacing w:before="240" w:after="120" w:line="360" w:lineRule="auto"/>
        <w:jc w:val="both"/>
        <w:rPr>
          <w:rFonts w:ascii="Arial" w:hAnsi="Arial" w:cs="Arial"/>
          <w:sz w:val="22"/>
          <w:szCs w:val="22"/>
        </w:rPr>
      </w:pPr>
    </w:p>
    <w:sectPr w:rsidR="00742233" w:rsidRPr="00032692" w:rsidSect="00582DE9">
      <w:footerReference w:type="default" r:id="rId8"/>
      <w:pgSz w:w="11906" w:h="16838"/>
      <w:pgMar w:top="1417" w:right="1417" w:bottom="1417" w:left="1417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726A2" w:rsidRDefault="005726A2">
      <w:r>
        <w:separator/>
      </w:r>
    </w:p>
  </w:endnote>
  <w:endnote w:type="continuationSeparator" w:id="0">
    <w:p w:rsidR="005726A2" w:rsidRDefault="005726A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Times New Roman Bold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82DE9" w:rsidRPr="00582DE9" w:rsidRDefault="00582DE9" w:rsidP="00582DE9">
    <w:pPr>
      <w:pStyle w:val="Podtitul"/>
      <w:rPr>
        <w:rFonts w:ascii="Arial" w:hAnsi="Arial" w:cs="Arial"/>
        <w:sz w:val="22"/>
        <w:szCs w:val="22"/>
      </w:rPr>
    </w:pPr>
    <w:r w:rsidRPr="00CA4A8C">
      <w:rPr>
        <w:rFonts w:ascii="Arial" w:hAnsi="Arial" w:cs="Arial"/>
        <w:sz w:val="22"/>
        <w:szCs w:val="22"/>
      </w:rPr>
      <w:t xml:space="preserve">Stránka </w:t>
    </w:r>
    <w:r w:rsidRPr="00CA4A8C">
      <w:rPr>
        <w:rFonts w:ascii="Arial" w:hAnsi="Arial" w:cs="Arial"/>
        <w:sz w:val="22"/>
        <w:szCs w:val="22"/>
      </w:rPr>
      <w:fldChar w:fldCharType="begin"/>
    </w:r>
    <w:r w:rsidRPr="00CA4A8C">
      <w:rPr>
        <w:rFonts w:ascii="Arial" w:hAnsi="Arial" w:cs="Arial"/>
        <w:sz w:val="22"/>
        <w:szCs w:val="22"/>
      </w:rPr>
      <w:instrText>PAGE</w:instrText>
    </w:r>
    <w:r w:rsidRPr="00CA4A8C">
      <w:rPr>
        <w:rFonts w:ascii="Arial" w:hAnsi="Arial" w:cs="Arial"/>
        <w:sz w:val="22"/>
        <w:szCs w:val="22"/>
      </w:rPr>
      <w:fldChar w:fldCharType="separate"/>
    </w:r>
    <w:r w:rsidR="000A1CCB">
      <w:rPr>
        <w:rFonts w:ascii="Arial" w:hAnsi="Arial" w:cs="Arial"/>
        <w:noProof/>
        <w:sz w:val="22"/>
        <w:szCs w:val="22"/>
      </w:rPr>
      <w:t>4</w:t>
    </w:r>
    <w:r w:rsidRPr="00CA4A8C">
      <w:rPr>
        <w:rFonts w:ascii="Arial" w:hAnsi="Arial" w:cs="Arial"/>
        <w:sz w:val="22"/>
        <w:szCs w:val="22"/>
      </w:rPr>
      <w:fldChar w:fldCharType="end"/>
    </w:r>
    <w:r w:rsidRPr="00CA4A8C">
      <w:rPr>
        <w:rFonts w:ascii="Arial" w:hAnsi="Arial" w:cs="Arial"/>
        <w:sz w:val="22"/>
        <w:szCs w:val="22"/>
      </w:rPr>
      <w:t xml:space="preserve"> (celkem </w:t>
    </w:r>
    <w:r w:rsidRPr="00CA4A8C">
      <w:rPr>
        <w:rFonts w:ascii="Arial" w:hAnsi="Arial" w:cs="Arial"/>
        <w:sz w:val="22"/>
        <w:szCs w:val="22"/>
      </w:rPr>
      <w:fldChar w:fldCharType="begin"/>
    </w:r>
    <w:r w:rsidRPr="00CA4A8C">
      <w:rPr>
        <w:rFonts w:ascii="Arial" w:hAnsi="Arial" w:cs="Arial"/>
        <w:sz w:val="22"/>
        <w:szCs w:val="22"/>
      </w:rPr>
      <w:instrText>NUMPAGES</w:instrText>
    </w:r>
    <w:r w:rsidRPr="00CA4A8C">
      <w:rPr>
        <w:rFonts w:ascii="Arial" w:hAnsi="Arial" w:cs="Arial"/>
        <w:sz w:val="22"/>
        <w:szCs w:val="22"/>
      </w:rPr>
      <w:fldChar w:fldCharType="separate"/>
    </w:r>
    <w:r w:rsidR="000A1CCB">
      <w:rPr>
        <w:rFonts w:ascii="Arial" w:hAnsi="Arial" w:cs="Arial"/>
        <w:noProof/>
        <w:sz w:val="22"/>
        <w:szCs w:val="22"/>
      </w:rPr>
      <w:t>4</w:t>
    </w:r>
    <w:r w:rsidRPr="00CA4A8C">
      <w:rPr>
        <w:rFonts w:ascii="Arial" w:hAnsi="Arial" w:cs="Arial"/>
        <w:sz w:val="22"/>
        <w:szCs w:val="22"/>
      </w:rPr>
      <w:fldChar w:fldCharType="end"/>
    </w:r>
    <w:r w:rsidRPr="00CA4A8C">
      <w:rPr>
        <w:rFonts w:ascii="Arial" w:hAnsi="Arial" w:cs="Arial"/>
        <w:sz w:val="22"/>
        <w:szCs w:val="22"/>
      </w:rPr>
      <w:t>)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726A2" w:rsidRDefault="005726A2">
      <w:r>
        <w:separator/>
      </w:r>
    </w:p>
  </w:footnote>
  <w:footnote w:type="continuationSeparator" w:id="0">
    <w:p w:rsidR="005726A2" w:rsidRDefault="005726A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EF65F1B"/>
    <w:multiLevelType w:val="hybridMultilevel"/>
    <w:tmpl w:val="7F30D4F2"/>
    <w:lvl w:ilvl="0" w:tplc="3C18F2BA">
      <w:start w:val="2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45B85AD2"/>
    <w:multiLevelType w:val="hybridMultilevel"/>
    <w:tmpl w:val="51628AAE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1860C45"/>
    <w:multiLevelType w:val="hybridMultilevel"/>
    <w:tmpl w:val="5762BE22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25A6F22"/>
    <w:multiLevelType w:val="hybridMultilevel"/>
    <w:tmpl w:val="650E689C"/>
    <w:lvl w:ilvl="0" w:tplc="3C18F2BA">
      <w:start w:val="2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77141C1A"/>
    <w:multiLevelType w:val="hybridMultilevel"/>
    <w:tmpl w:val="B852B2B8"/>
    <w:lvl w:ilvl="0" w:tplc="325421D8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0"/>
  </w:num>
  <w:num w:numId="3">
    <w:abstractNumId w:val="3"/>
  </w:num>
  <w:num w:numId="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2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17E3C"/>
    <w:rsid w:val="0001356B"/>
    <w:rsid w:val="00032692"/>
    <w:rsid w:val="000353F8"/>
    <w:rsid w:val="000368B3"/>
    <w:rsid w:val="000413EC"/>
    <w:rsid w:val="000438F0"/>
    <w:rsid w:val="000478F3"/>
    <w:rsid w:val="000614C9"/>
    <w:rsid w:val="000777BA"/>
    <w:rsid w:val="000A09A4"/>
    <w:rsid w:val="000A1CCB"/>
    <w:rsid w:val="000C1981"/>
    <w:rsid w:val="000C6DE7"/>
    <w:rsid w:val="000D7C3D"/>
    <w:rsid w:val="000E0B3C"/>
    <w:rsid w:val="000E170B"/>
    <w:rsid w:val="000F26D1"/>
    <w:rsid w:val="00111637"/>
    <w:rsid w:val="00115020"/>
    <w:rsid w:val="001262AB"/>
    <w:rsid w:val="00173F7B"/>
    <w:rsid w:val="0017769F"/>
    <w:rsid w:val="00193610"/>
    <w:rsid w:val="001B7406"/>
    <w:rsid w:val="001C4BCE"/>
    <w:rsid w:val="001E0BBF"/>
    <w:rsid w:val="001E481A"/>
    <w:rsid w:val="001E536A"/>
    <w:rsid w:val="00216D41"/>
    <w:rsid w:val="00231D68"/>
    <w:rsid w:val="002331DE"/>
    <w:rsid w:val="002351D7"/>
    <w:rsid w:val="00240B7D"/>
    <w:rsid w:val="002440BD"/>
    <w:rsid w:val="002759C6"/>
    <w:rsid w:val="002A672E"/>
    <w:rsid w:val="002B6C17"/>
    <w:rsid w:val="002C0431"/>
    <w:rsid w:val="002E2CB5"/>
    <w:rsid w:val="00302624"/>
    <w:rsid w:val="0031123A"/>
    <w:rsid w:val="003130CC"/>
    <w:rsid w:val="0032014B"/>
    <w:rsid w:val="00335D6F"/>
    <w:rsid w:val="00342072"/>
    <w:rsid w:val="003425DB"/>
    <w:rsid w:val="00352653"/>
    <w:rsid w:val="00361DDC"/>
    <w:rsid w:val="00371422"/>
    <w:rsid w:val="00375547"/>
    <w:rsid w:val="003A59AF"/>
    <w:rsid w:val="003A6008"/>
    <w:rsid w:val="003B4189"/>
    <w:rsid w:val="003C0548"/>
    <w:rsid w:val="003D1320"/>
    <w:rsid w:val="003F0CA0"/>
    <w:rsid w:val="004026A2"/>
    <w:rsid w:val="0040404C"/>
    <w:rsid w:val="00406C16"/>
    <w:rsid w:val="00421876"/>
    <w:rsid w:val="00422CA2"/>
    <w:rsid w:val="00444DD6"/>
    <w:rsid w:val="00446F83"/>
    <w:rsid w:val="00490ED0"/>
    <w:rsid w:val="004F0837"/>
    <w:rsid w:val="004F3F64"/>
    <w:rsid w:val="00517DCD"/>
    <w:rsid w:val="00525B19"/>
    <w:rsid w:val="00543A82"/>
    <w:rsid w:val="005476CA"/>
    <w:rsid w:val="005529CD"/>
    <w:rsid w:val="00560822"/>
    <w:rsid w:val="0056661A"/>
    <w:rsid w:val="005726A2"/>
    <w:rsid w:val="00574ADB"/>
    <w:rsid w:val="00574B2B"/>
    <w:rsid w:val="00582DE9"/>
    <w:rsid w:val="005A2B12"/>
    <w:rsid w:val="005A6304"/>
    <w:rsid w:val="005C5491"/>
    <w:rsid w:val="005D7F59"/>
    <w:rsid w:val="005E664D"/>
    <w:rsid w:val="006269DB"/>
    <w:rsid w:val="00631087"/>
    <w:rsid w:val="0066330D"/>
    <w:rsid w:val="00681954"/>
    <w:rsid w:val="006858E5"/>
    <w:rsid w:val="00696458"/>
    <w:rsid w:val="006A7CDC"/>
    <w:rsid w:val="006C0430"/>
    <w:rsid w:val="006D0316"/>
    <w:rsid w:val="006E0F65"/>
    <w:rsid w:val="006E70BC"/>
    <w:rsid w:val="00705E8E"/>
    <w:rsid w:val="00742233"/>
    <w:rsid w:val="007561B4"/>
    <w:rsid w:val="00777BAF"/>
    <w:rsid w:val="00794E37"/>
    <w:rsid w:val="00796AC9"/>
    <w:rsid w:val="007A0E35"/>
    <w:rsid w:val="007B2680"/>
    <w:rsid w:val="007F16DF"/>
    <w:rsid w:val="00804CE1"/>
    <w:rsid w:val="008101DF"/>
    <w:rsid w:val="00832042"/>
    <w:rsid w:val="00847970"/>
    <w:rsid w:val="0085300A"/>
    <w:rsid w:val="00887ECA"/>
    <w:rsid w:val="008B13A3"/>
    <w:rsid w:val="008B303C"/>
    <w:rsid w:val="008C1953"/>
    <w:rsid w:val="008E5504"/>
    <w:rsid w:val="008F3493"/>
    <w:rsid w:val="008F6257"/>
    <w:rsid w:val="00925E86"/>
    <w:rsid w:val="00930D87"/>
    <w:rsid w:val="00931D36"/>
    <w:rsid w:val="00942359"/>
    <w:rsid w:val="00944039"/>
    <w:rsid w:val="009671DD"/>
    <w:rsid w:val="00990E91"/>
    <w:rsid w:val="009C78D1"/>
    <w:rsid w:val="009E58A1"/>
    <w:rsid w:val="009F4360"/>
    <w:rsid w:val="00A0291F"/>
    <w:rsid w:val="00A21197"/>
    <w:rsid w:val="00A56908"/>
    <w:rsid w:val="00A8681C"/>
    <w:rsid w:val="00A90BF6"/>
    <w:rsid w:val="00A97659"/>
    <w:rsid w:val="00AA049A"/>
    <w:rsid w:val="00AB0F4B"/>
    <w:rsid w:val="00AB5907"/>
    <w:rsid w:val="00AC4CBB"/>
    <w:rsid w:val="00AD4412"/>
    <w:rsid w:val="00AD7778"/>
    <w:rsid w:val="00AF2E35"/>
    <w:rsid w:val="00AF7CD1"/>
    <w:rsid w:val="00B30632"/>
    <w:rsid w:val="00B52072"/>
    <w:rsid w:val="00B57531"/>
    <w:rsid w:val="00BC3E55"/>
    <w:rsid w:val="00BD5D99"/>
    <w:rsid w:val="00BE6F48"/>
    <w:rsid w:val="00BF0C8A"/>
    <w:rsid w:val="00C066CA"/>
    <w:rsid w:val="00C110F9"/>
    <w:rsid w:val="00C35A3D"/>
    <w:rsid w:val="00C5117F"/>
    <w:rsid w:val="00C66598"/>
    <w:rsid w:val="00C83033"/>
    <w:rsid w:val="00C87F92"/>
    <w:rsid w:val="00C95DCC"/>
    <w:rsid w:val="00C9742C"/>
    <w:rsid w:val="00CA0E9D"/>
    <w:rsid w:val="00CB4C0B"/>
    <w:rsid w:val="00CD1463"/>
    <w:rsid w:val="00CD4109"/>
    <w:rsid w:val="00CE46C7"/>
    <w:rsid w:val="00CE51B1"/>
    <w:rsid w:val="00CF6949"/>
    <w:rsid w:val="00D15335"/>
    <w:rsid w:val="00D74EAC"/>
    <w:rsid w:val="00D77241"/>
    <w:rsid w:val="00D8204E"/>
    <w:rsid w:val="00D9250E"/>
    <w:rsid w:val="00DA3CB5"/>
    <w:rsid w:val="00DA45D9"/>
    <w:rsid w:val="00DC12A9"/>
    <w:rsid w:val="00DD6249"/>
    <w:rsid w:val="00E001B9"/>
    <w:rsid w:val="00E0734D"/>
    <w:rsid w:val="00E2706E"/>
    <w:rsid w:val="00E451BF"/>
    <w:rsid w:val="00E46E42"/>
    <w:rsid w:val="00E54EFD"/>
    <w:rsid w:val="00E553A4"/>
    <w:rsid w:val="00E757D9"/>
    <w:rsid w:val="00E81DCB"/>
    <w:rsid w:val="00EB11BC"/>
    <w:rsid w:val="00EB1ACC"/>
    <w:rsid w:val="00EB630C"/>
    <w:rsid w:val="00ED4EBD"/>
    <w:rsid w:val="00EE334E"/>
    <w:rsid w:val="00F05218"/>
    <w:rsid w:val="00F12E8F"/>
    <w:rsid w:val="00F17E3C"/>
    <w:rsid w:val="00F26505"/>
    <w:rsid w:val="00F26864"/>
    <w:rsid w:val="00F74C9B"/>
    <w:rsid w:val="00FC6E57"/>
    <w:rsid w:val="00FD034B"/>
    <w:rsid w:val="00FD1E45"/>
    <w:rsid w:val="00FD45EB"/>
    <w:rsid w:val="00FE27E8"/>
    <w:rsid w:val="00FE31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>
      <v:stroke weight="1.5pt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No Spacing" w:semiHidden="0" w:unhideWhenUsed="0" w:qFormat="1"/>
    <w:lsdException w:name="Light Shading" w:semiHidden="0" w:unhideWhenUsed="0"/>
    <w:lsdException w:name="Light List" w:semiHidden="0" w:unhideWhenUsed="0"/>
    <w:lsdException w:name="Light Grid" w:semiHidden="0" w:unhideWhenUsed="0"/>
    <w:lsdException w:name="Medium Shading 1" w:semiHidden="0" w:unhideWhenUsed="0"/>
    <w:lsdException w:name="Medium Shading 2" w:semiHidden="0" w:unhideWhenUsed="0"/>
    <w:lsdException w:name="Medium List 1" w:semiHidden="0" w:unhideWhenUsed="0"/>
    <w:lsdException w:name="Medium List 2" w:semiHidden="0" w:unhideWhenUsed="0"/>
    <w:lsdException w:name="Medium Grid 1" w:semiHidden="0" w:unhideWhenUsed="0"/>
    <w:lsdException w:name="Medium Grid 2" w:semiHidden="0" w:uiPriority="1" w:unhideWhenUsed="0" w:qFormat="1"/>
    <w:lsdException w:name="Medium Grid 3" w:semiHidden="0" w:uiPriority="60" w:unhideWhenUsed="0"/>
    <w:lsdException w:name="Dark List" w:semiHidden="0" w:uiPriority="61" w:unhideWhenUsed="0"/>
    <w:lsdException w:name="Colorful Shading" w:semiHidden="0" w:uiPriority="62" w:unhideWhenUsed="0"/>
    <w:lsdException w:name="Colorful List" w:semiHidden="0" w:uiPriority="63" w:unhideWhenUsed="0"/>
    <w:lsdException w:name="Colorful Grid" w:semiHidden="0" w:uiPriority="64" w:unhideWhenUsed="0"/>
    <w:lsdException w:name="Light Shading Accent 1" w:semiHidden="0" w:uiPriority="65" w:unhideWhenUsed="0"/>
    <w:lsdException w:name="Light List Accent 1" w:semiHidden="0" w:uiPriority="66" w:unhideWhenUsed="0"/>
    <w:lsdException w:name="Light Grid Accent 1" w:semiHidden="0" w:uiPriority="67" w:unhideWhenUsed="0"/>
    <w:lsdException w:name="Medium Shading 1 Accent 1" w:semiHidden="0" w:uiPriority="68" w:unhideWhenUsed="0"/>
    <w:lsdException w:name="Medium Shading 2 Accent 1" w:semiHidden="0" w:uiPriority="69" w:unhideWhenUsed="0"/>
    <w:lsdException w:name="Medium List 1 Accent 1" w:semiHidden="0" w:uiPriority="70" w:unhideWhenUsed="0"/>
    <w:lsdException w:name="Revision" w:semiHidden="0" w:uiPriority="71" w:unhideWhenUsed="0"/>
    <w:lsdException w:name="List Paragraph" w:semiHidden="0" w:uiPriority="34" w:unhideWhenUsed="0" w:qFormat="1"/>
    <w:lsdException w:name="Quote" w:semiHidden="0" w:uiPriority="73" w:unhideWhenUsed="0" w:qFormat="1"/>
    <w:lsdException w:name="Intense Quote" w:semiHidden="0" w:uiPriority="60" w:unhideWhenUsed="0" w:qFormat="1"/>
    <w:lsdException w:name="Medium List 2 Accent 1" w:semiHidden="0" w:uiPriority="61" w:unhideWhenUsed="0"/>
    <w:lsdException w:name="Medium Grid 1 Accent 1" w:semiHidden="0" w:uiPriority="62" w:unhideWhenUsed="0"/>
    <w:lsdException w:name="Medium Grid 2 Accent 1" w:semiHidden="0" w:uiPriority="63" w:unhideWhenUsed="0"/>
    <w:lsdException w:name="Medium Grid 3 Accent 1" w:semiHidden="0" w:uiPriority="64" w:unhideWhenUsed="0"/>
    <w:lsdException w:name="Dark List Accent 1" w:semiHidden="0" w:uiPriority="65" w:unhideWhenUsed="0"/>
    <w:lsdException w:name="Colorful Shading Accent 1" w:semiHidden="0" w:unhideWhenUsed="0"/>
    <w:lsdException w:name="Colorful List Accent 1" w:semiHidden="0" w:uiPriority="34" w:unhideWhenUsed="0" w:qFormat="1"/>
    <w:lsdException w:name="Colorful Grid Accent 1" w:semiHidden="0" w:uiPriority="29" w:unhideWhenUsed="0" w:qFormat="1"/>
    <w:lsdException w:name="Light Shading Accent 2" w:semiHidden="0" w:uiPriority="30" w:unhideWhenUsed="0" w:qFormat="1"/>
    <w:lsdException w:name="Light List Accent 2" w:semiHidden="0" w:uiPriority="66" w:unhideWhenUsed="0"/>
    <w:lsdException w:name="Light Grid Accent 2" w:semiHidden="0" w:uiPriority="67" w:unhideWhenUsed="0"/>
    <w:lsdException w:name="Medium Shading 1 Accent 2" w:semiHidden="0" w:uiPriority="68" w:unhideWhenUsed="0"/>
    <w:lsdException w:name="Medium Shading 2 Accent 2" w:semiHidden="0" w:uiPriority="69" w:unhideWhenUsed="0"/>
    <w:lsdException w:name="Medium List 1 Accent 2" w:semiHidden="0" w:uiPriority="70" w:unhideWhenUsed="0"/>
    <w:lsdException w:name="Medium List 2 Accent 2" w:semiHidden="0" w:uiPriority="71" w:unhideWhenUsed="0"/>
    <w:lsdException w:name="Medium Grid 1 Accent 2" w:semiHidden="0" w:uiPriority="72" w:unhideWhenUsed="0"/>
    <w:lsdException w:name="Medium Grid 2 Accent 2" w:semiHidden="0" w:uiPriority="73" w:unhideWhenUsed="0"/>
    <w:lsdException w:name="Medium Grid 3 Accent 2" w:semiHidden="0" w:uiPriority="60" w:unhideWhenUsed="0"/>
    <w:lsdException w:name="Dark List Accent 2" w:semiHidden="0" w:uiPriority="61" w:unhideWhenUsed="0"/>
    <w:lsdException w:name="Colorful Shading Accent 2" w:semiHidden="0" w:uiPriority="62" w:unhideWhenUsed="0"/>
    <w:lsdException w:name="Colorful List Accent 2" w:semiHidden="0" w:uiPriority="63" w:unhideWhenUsed="0"/>
    <w:lsdException w:name="Colorful Grid Accent 2" w:semiHidden="0" w:uiPriority="64" w:unhideWhenUsed="0"/>
    <w:lsdException w:name="Light Shading Accent 3" w:semiHidden="0" w:uiPriority="65" w:unhideWhenUsed="0"/>
    <w:lsdException w:name="Light List Accent 3" w:semiHidden="0" w:uiPriority="66" w:unhideWhenUsed="0"/>
    <w:lsdException w:name="Light Grid Accent 3" w:semiHidden="0" w:uiPriority="67" w:unhideWhenUsed="0"/>
    <w:lsdException w:name="Medium Shading 1 Accent 3" w:semiHidden="0" w:uiPriority="68" w:unhideWhenUsed="0"/>
    <w:lsdException w:name="Medium Shading 2 Accent 3" w:semiHidden="0" w:uiPriority="69" w:unhideWhenUsed="0"/>
    <w:lsdException w:name="Medium List 1 Accent 3" w:semiHidden="0" w:uiPriority="70" w:unhideWhenUsed="0"/>
    <w:lsdException w:name="Medium List 2 Accent 3" w:semiHidden="0" w:uiPriority="71" w:unhideWhenUsed="0"/>
    <w:lsdException w:name="Medium Grid 1 Accent 3" w:semiHidden="0" w:uiPriority="72" w:unhideWhenUsed="0"/>
    <w:lsdException w:name="Medium Grid 2 Accent 3" w:semiHidden="0" w:uiPriority="73" w:unhideWhenUsed="0"/>
    <w:lsdException w:name="Medium Grid 3 Accent 3" w:semiHidden="0" w:uiPriority="60" w:unhideWhenUsed="0"/>
    <w:lsdException w:name="Dark List Accent 3" w:semiHidden="0" w:uiPriority="61" w:unhideWhenUsed="0"/>
    <w:lsdException w:name="Colorful Shading Accent 3" w:semiHidden="0" w:uiPriority="62" w:unhideWhenUsed="0"/>
    <w:lsdException w:name="Colorful List Accent 3" w:semiHidden="0" w:uiPriority="63" w:unhideWhenUsed="0"/>
    <w:lsdException w:name="Colorful Grid Accent 3" w:semiHidden="0" w:uiPriority="64" w:unhideWhenUsed="0"/>
    <w:lsdException w:name="Light Shading Accent 4" w:semiHidden="0" w:uiPriority="65" w:unhideWhenUsed="0"/>
    <w:lsdException w:name="Light List Accent 4" w:semiHidden="0" w:uiPriority="66" w:unhideWhenUsed="0"/>
    <w:lsdException w:name="Light Grid Accent 4" w:semiHidden="0" w:uiPriority="67" w:unhideWhenUsed="0"/>
    <w:lsdException w:name="Medium Shading 1 Accent 4" w:semiHidden="0" w:uiPriority="68" w:unhideWhenUsed="0"/>
    <w:lsdException w:name="Medium Shading 2 Accent 4" w:semiHidden="0" w:uiPriority="69" w:unhideWhenUsed="0"/>
    <w:lsdException w:name="Medium List 1 Accent 4" w:semiHidden="0" w:uiPriority="70" w:unhideWhenUsed="0"/>
    <w:lsdException w:name="Medium List 2 Accent 4" w:semiHidden="0" w:uiPriority="71" w:unhideWhenUsed="0"/>
    <w:lsdException w:name="Medium Grid 1 Accent 4" w:semiHidden="0" w:uiPriority="72" w:unhideWhenUsed="0"/>
    <w:lsdException w:name="Medium Grid 2 Accent 4" w:semiHidden="0" w:uiPriority="73" w:unhideWhenUsed="0"/>
    <w:lsdException w:name="Medium Grid 3 Accent 4" w:semiHidden="0" w:uiPriority="60" w:unhideWhenUsed="0"/>
    <w:lsdException w:name="Dark List Accent 4" w:semiHidden="0" w:uiPriority="61" w:unhideWhenUsed="0"/>
    <w:lsdException w:name="Colorful Shading Accent 4" w:semiHidden="0" w:uiPriority="62" w:unhideWhenUsed="0"/>
    <w:lsdException w:name="Colorful List Accent 4" w:semiHidden="0" w:uiPriority="63" w:unhideWhenUsed="0"/>
    <w:lsdException w:name="Colorful Grid Accent 4" w:semiHidden="0" w:uiPriority="64" w:unhideWhenUsed="0"/>
    <w:lsdException w:name="Light Shading Accent 5" w:semiHidden="0" w:uiPriority="65" w:unhideWhenUsed="0"/>
    <w:lsdException w:name="Light List Accent 5" w:semiHidden="0" w:uiPriority="66" w:unhideWhenUsed="0"/>
    <w:lsdException w:name="Light Grid Accent 5" w:semiHidden="0" w:uiPriority="67" w:unhideWhenUsed="0"/>
    <w:lsdException w:name="Medium Shading 1 Accent 5" w:semiHidden="0" w:uiPriority="68" w:unhideWhenUsed="0"/>
    <w:lsdException w:name="Medium Shading 2 Accent 5" w:semiHidden="0" w:uiPriority="69" w:unhideWhenUsed="0"/>
    <w:lsdException w:name="Medium List 1 Accent 5" w:semiHidden="0" w:uiPriority="70" w:unhideWhenUsed="0"/>
    <w:lsdException w:name="Medium List 2 Accent 5" w:semiHidden="0" w:uiPriority="71" w:unhideWhenUsed="0"/>
    <w:lsdException w:name="Medium Grid 1 Accent 5" w:semiHidden="0" w:uiPriority="72" w:unhideWhenUsed="0"/>
    <w:lsdException w:name="Medium Grid 2 Accent 5" w:semiHidden="0" w:uiPriority="73" w:unhideWhenUsed="0"/>
    <w:lsdException w:name="Medium Grid 3 Accent 5" w:semiHidden="0" w:uiPriority="60" w:unhideWhenUsed="0"/>
    <w:lsdException w:name="Dark List Accent 5" w:semiHidden="0" w:uiPriority="61" w:unhideWhenUsed="0"/>
    <w:lsdException w:name="Colorful Shading Accent 5" w:semiHidden="0" w:uiPriority="62" w:unhideWhenUsed="0"/>
    <w:lsdException w:name="Colorful List Accent 5" w:semiHidden="0" w:uiPriority="63" w:unhideWhenUsed="0"/>
    <w:lsdException w:name="Colorful Grid Accent 5" w:semiHidden="0" w:uiPriority="64" w:unhideWhenUsed="0"/>
    <w:lsdException w:name="Light Shading Accent 6" w:semiHidden="0" w:uiPriority="65" w:unhideWhenUsed="0"/>
    <w:lsdException w:name="Light List Accent 6" w:semiHidden="0" w:uiPriority="66" w:unhideWhenUsed="0"/>
    <w:lsdException w:name="Light Grid Accent 6" w:semiHidden="0" w:uiPriority="67" w:unhideWhenUsed="0"/>
    <w:lsdException w:name="Medium Shading 1 Accent 6" w:semiHidden="0" w:uiPriority="68" w:unhideWhenUsed="0"/>
    <w:lsdException w:name="Medium Shading 2 Accent 6" w:semiHidden="0" w:uiPriority="69" w:unhideWhenUsed="0"/>
    <w:lsdException w:name="Medium List 1 Accent 6" w:semiHidden="0" w:uiPriority="70" w:unhideWhenUsed="0"/>
    <w:lsdException w:name="Medium List 2 Accent 6" w:semiHidden="0" w:uiPriority="71" w:unhideWhenUsed="0"/>
    <w:lsdException w:name="Medium Grid 1 Accent 6" w:semiHidden="0" w:uiPriority="72" w:unhideWhenUsed="0"/>
    <w:lsdException w:name="Medium Grid 2 Accent 6" w:semiHidden="0" w:uiPriority="73" w:unhideWhenUsed="0"/>
    <w:lsdException w:name="Medium Grid 3 Accent 6" w:semiHidden="0" w:uiPriority="60" w:unhideWhenUsed="0"/>
    <w:lsdException w:name="Dark List Accent 6" w:semiHidden="0" w:uiPriority="61" w:unhideWhenUsed="0"/>
    <w:lsdException w:name="Colorful Shading Accent 6" w:semiHidden="0" w:uiPriority="62" w:unhideWhenUsed="0"/>
    <w:lsdException w:name="Colorful List Accent 6" w:semiHidden="0" w:uiPriority="63" w:unhideWhenUsed="0"/>
    <w:lsdException w:name="Colorful Grid Accent 6" w:semiHidden="0" w:uiPriority="64" w:unhideWhenUsed="0"/>
    <w:lsdException w:name="Subtle Emphasis" w:semiHidden="0" w:uiPriority="65" w:unhideWhenUsed="0" w:qFormat="1"/>
    <w:lsdException w:name="Intense Emphasis" w:semiHidden="0" w:uiPriority="66" w:unhideWhenUsed="0" w:qFormat="1"/>
    <w:lsdException w:name="Subtle Reference" w:semiHidden="0" w:uiPriority="67" w:unhideWhenUsed="0" w:qFormat="1"/>
    <w:lsdException w:name="Intense Reference" w:semiHidden="0" w:uiPriority="68" w:unhideWhenUsed="0" w:qFormat="1"/>
    <w:lsdException w:name="Book Title" w:semiHidden="0" w:uiPriority="69" w:unhideWhenUsed="0" w:qFormat="1"/>
    <w:lsdException w:name="Bibliography" w:semiHidden="0" w:uiPriority="70" w:unhideWhenUsed="0"/>
    <w:lsdException w:name="TOC Heading" w:uiPriority="71" w:qFormat="1"/>
  </w:latentStyles>
  <w:style w:type="paragraph" w:default="1" w:styleId="Normln">
    <w:name w:val="Normal"/>
    <w:qFormat/>
    <w:rPr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semiHidden/>
    <w:rsid w:val="007A0E35"/>
    <w:rPr>
      <w:rFonts w:ascii="Tahoma" w:hAnsi="Tahoma" w:cs="Tahoma"/>
      <w:sz w:val="16"/>
      <w:szCs w:val="16"/>
    </w:rPr>
  </w:style>
  <w:style w:type="paragraph" w:styleId="Zhlav">
    <w:name w:val="header"/>
    <w:basedOn w:val="Normln"/>
    <w:rsid w:val="00C110F9"/>
    <w:pPr>
      <w:tabs>
        <w:tab w:val="center" w:pos="4536"/>
        <w:tab w:val="right" w:pos="9072"/>
      </w:tabs>
    </w:pPr>
  </w:style>
  <w:style w:type="paragraph" w:styleId="Zpat">
    <w:name w:val="footer"/>
    <w:basedOn w:val="Normln"/>
    <w:rsid w:val="00C110F9"/>
    <w:pPr>
      <w:tabs>
        <w:tab w:val="center" w:pos="4536"/>
        <w:tab w:val="right" w:pos="9072"/>
      </w:tabs>
    </w:pPr>
  </w:style>
  <w:style w:type="paragraph" w:customStyle="1" w:styleId="Char4CharCharCharCharCharCharCharCharCharCharCharCharCharCharCharCharCharCharCharCharCharCharCharChar">
    <w:name w:val="Char4 Char Char Char Char Char Char Char Char Char Char Char Char Char Char Char Char Char Char Char Char Char Char Char Char"/>
    <w:basedOn w:val="Normln"/>
    <w:rsid w:val="00BE6F48"/>
    <w:pPr>
      <w:spacing w:after="160" w:line="240" w:lineRule="exact"/>
    </w:pPr>
    <w:rPr>
      <w:rFonts w:ascii="Times New Roman Bold" w:hAnsi="Times New Roman Bold"/>
      <w:sz w:val="22"/>
      <w:szCs w:val="26"/>
      <w:lang w:val="sk-SK" w:eastAsia="en-US"/>
    </w:rPr>
  </w:style>
  <w:style w:type="paragraph" w:styleId="Podtitul">
    <w:name w:val="Subtitle"/>
    <w:basedOn w:val="Normln"/>
    <w:next w:val="Normln"/>
    <w:link w:val="PodtitulChar"/>
    <w:uiPriority w:val="11"/>
    <w:qFormat/>
    <w:rsid w:val="00582DE9"/>
    <w:pPr>
      <w:spacing w:after="60"/>
      <w:jc w:val="center"/>
      <w:outlineLvl w:val="1"/>
    </w:pPr>
    <w:rPr>
      <w:rFonts w:ascii="Cambria" w:hAnsi="Cambria"/>
    </w:rPr>
  </w:style>
  <w:style w:type="character" w:customStyle="1" w:styleId="PodtitulChar">
    <w:name w:val="Podtitul Char"/>
    <w:link w:val="Podtitul"/>
    <w:uiPriority w:val="11"/>
    <w:rsid w:val="00582DE9"/>
    <w:rPr>
      <w:rFonts w:ascii="Cambria" w:hAnsi="Cambria"/>
      <w:sz w:val="24"/>
      <w:szCs w:val="24"/>
    </w:rPr>
  </w:style>
  <w:style w:type="paragraph" w:customStyle="1" w:styleId="Titulnstrana">
    <w:name w:val="Titulní strana"/>
    <w:basedOn w:val="Normln"/>
    <w:link w:val="TitulnstranaChar"/>
    <w:qFormat/>
    <w:rsid w:val="00742233"/>
    <w:pPr>
      <w:spacing w:after="120" w:line="264" w:lineRule="auto"/>
      <w:jc w:val="center"/>
    </w:pPr>
    <w:rPr>
      <w:rFonts w:ascii="Arial" w:eastAsiaTheme="minorHAnsi" w:hAnsi="Arial" w:cs="Arial"/>
      <w:b/>
      <w:sz w:val="28"/>
      <w:szCs w:val="22"/>
    </w:rPr>
  </w:style>
  <w:style w:type="character" w:customStyle="1" w:styleId="TitulnstranaChar">
    <w:name w:val="Titulní strana Char"/>
    <w:basedOn w:val="Standardnpsmoodstavce"/>
    <w:link w:val="Titulnstrana"/>
    <w:rsid w:val="00742233"/>
    <w:rPr>
      <w:rFonts w:ascii="Arial" w:eastAsiaTheme="minorHAnsi" w:hAnsi="Arial" w:cs="Arial"/>
      <w:b/>
      <w:sz w:val="28"/>
      <w:szCs w:val="22"/>
    </w:rPr>
  </w:style>
  <w:style w:type="table" w:styleId="Mkatabulky">
    <w:name w:val="Table Grid"/>
    <w:basedOn w:val="Normlntabulka"/>
    <w:uiPriority w:val="59"/>
    <w:rsid w:val="00BC3E55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tavecseseznamem">
    <w:name w:val="List Paragraph"/>
    <w:basedOn w:val="Normln"/>
    <w:uiPriority w:val="34"/>
    <w:qFormat/>
    <w:rsid w:val="007561B4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No Spacing" w:semiHidden="0" w:unhideWhenUsed="0" w:qFormat="1"/>
    <w:lsdException w:name="Light Shading" w:semiHidden="0" w:unhideWhenUsed="0"/>
    <w:lsdException w:name="Light List" w:semiHidden="0" w:unhideWhenUsed="0"/>
    <w:lsdException w:name="Light Grid" w:semiHidden="0" w:unhideWhenUsed="0"/>
    <w:lsdException w:name="Medium Shading 1" w:semiHidden="0" w:unhideWhenUsed="0"/>
    <w:lsdException w:name="Medium Shading 2" w:semiHidden="0" w:unhideWhenUsed="0"/>
    <w:lsdException w:name="Medium List 1" w:semiHidden="0" w:unhideWhenUsed="0"/>
    <w:lsdException w:name="Medium List 2" w:semiHidden="0" w:unhideWhenUsed="0"/>
    <w:lsdException w:name="Medium Grid 1" w:semiHidden="0" w:unhideWhenUsed="0"/>
    <w:lsdException w:name="Medium Grid 2" w:semiHidden="0" w:uiPriority="1" w:unhideWhenUsed="0" w:qFormat="1"/>
    <w:lsdException w:name="Medium Grid 3" w:semiHidden="0" w:uiPriority="60" w:unhideWhenUsed="0"/>
    <w:lsdException w:name="Dark List" w:semiHidden="0" w:uiPriority="61" w:unhideWhenUsed="0"/>
    <w:lsdException w:name="Colorful Shading" w:semiHidden="0" w:uiPriority="62" w:unhideWhenUsed="0"/>
    <w:lsdException w:name="Colorful List" w:semiHidden="0" w:uiPriority="63" w:unhideWhenUsed="0"/>
    <w:lsdException w:name="Colorful Grid" w:semiHidden="0" w:uiPriority="64" w:unhideWhenUsed="0"/>
    <w:lsdException w:name="Light Shading Accent 1" w:semiHidden="0" w:uiPriority="65" w:unhideWhenUsed="0"/>
    <w:lsdException w:name="Light List Accent 1" w:semiHidden="0" w:uiPriority="66" w:unhideWhenUsed="0"/>
    <w:lsdException w:name="Light Grid Accent 1" w:semiHidden="0" w:uiPriority="67" w:unhideWhenUsed="0"/>
    <w:lsdException w:name="Medium Shading 1 Accent 1" w:semiHidden="0" w:uiPriority="68" w:unhideWhenUsed="0"/>
    <w:lsdException w:name="Medium Shading 2 Accent 1" w:semiHidden="0" w:uiPriority="69" w:unhideWhenUsed="0"/>
    <w:lsdException w:name="Medium List 1 Accent 1" w:semiHidden="0" w:uiPriority="70" w:unhideWhenUsed="0"/>
    <w:lsdException w:name="Revision" w:semiHidden="0" w:uiPriority="71" w:unhideWhenUsed="0"/>
    <w:lsdException w:name="List Paragraph" w:semiHidden="0" w:uiPriority="34" w:unhideWhenUsed="0" w:qFormat="1"/>
    <w:lsdException w:name="Quote" w:semiHidden="0" w:uiPriority="73" w:unhideWhenUsed="0" w:qFormat="1"/>
    <w:lsdException w:name="Intense Quote" w:semiHidden="0" w:uiPriority="60" w:unhideWhenUsed="0" w:qFormat="1"/>
    <w:lsdException w:name="Medium List 2 Accent 1" w:semiHidden="0" w:uiPriority="61" w:unhideWhenUsed="0"/>
    <w:lsdException w:name="Medium Grid 1 Accent 1" w:semiHidden="0" w:uiPriority="62" w:unhideWhenUsed="0"/>
    <w:lsdException w:name="Medium Grid 2 Accent 1" w:semiHidden="0" w:uiPriority="63" w:unhideWhenUsed="0"/>
    <w:lsdException w:name="Medium Grid 3 Accent 1" w:semiHidden="0" w:uiPriority="64" w:unhideWhenUsed="0"/>
    <w:lsdException w:name="Dark List Accent 1" w:semiHidden="0" w:uiPriority="65" w:unhideWhenUsed="0"/>
    <w:lsdException w:name="Colorful Shading Accent 1" w:semiHidden="0" w:unhideWhenUsed="0"/>
    <w:lsdException w:name="Colorful List Accent 1" w:semiHidden="0" w:uiPriority="34" w:unhideWhenUsed="0" w:qFormat="1"/>
    <w:lsdException w:name="Colorful Grid Accent 1" w:semiHidden="0" w:uiPriority="29" w:unhideWhenUsed="0" w:qFormat="1"/>
    <w:lsdException w:name="Light Shading Accent 2" w:semiHidden="0" w:uiPriority="30" w:unhideWhenUsed="0" w:qFormat="1"/>
    <w:lsdException w:name="Light List Accent 2" w:semiHidden="0" w:uiPriority="66" w:unhideWhenUsed="0"/>
    <w:lsdException w:name="Light Grid Accent 2" w:semiHidden="0" w:uiPriority="67" w:unhideWhenUsed="0"/>
    <w:lsdException w:name="Medium Shading 1 Accent 2" w:semiHidden="0" w:uiPriority="68" w:unhideWhenUsed="0"/>
    <w:lsdException w:name="Medium Shading 2 Accent 2" w:semiHidden="0" w:uiPriority="69" w:unhideWhenUsed="0"/>
    <w:lsdException w:name="Medium List 1 Accent 2" w:semiHidden="0" w:uiPriority="70" w:unhideWhenUsed="0"/>
    <w:lsdException w:name="Medium List 2 Accent 2" w:semiHidden="0" w:uiPriority="71" w:unhideWhenUsed="0"/>
    <w:lsdException w:name="Medium Grid 1 Accent 2" w:semiHidden="0" w:uiPriority="72" w:unhideWhenUsed="0"/>
    <w:lsdException w:name="Medium Grid 2 Accent 2" w:semiHidden="0" w:uiPriority="73" w:unhideWhenUsed="0"/>
    <w:lsdException w:name="Medium Grid 3 Accent 2" w:semiHidden="0" w:uiPriority="60" w:unhideWhenUsed="0"/>
    <w:lsdException w:name="Dark List Accent 2" w:semiHidden="0" w:uiPriority="61" w:unhideWhenUsed="0"/>
    <w:lsdException w:name="Colorful Shading Accent 2" w:semiHidden="0" w:uiPriority="62" w:unhideWhenUsed="0"/>
    <w:lsdException w:name="Colorful List Accent 2" w:semiHidden="0" w:uiPriority="63" w:unhideWhenUsed="0"/>
    <w:lsdException w:name="Colorful Grid Accent 2" w:semiHidden="0" w:uiPriority="64" w:unhideWhenUsed="0"/>
    <w:lsdException w:name="Light Shading Accent 3" w:semiHidden="0" w:uiPriority="65" w:unhideWhenUsed="0"/>
    <w:lsdException w:name="Light List Accent 3" w:semiHidden="0" w:uiPriority="66" w:unhideWhenUsed="0"/>
    <w:lsdException w:name="Light Grid Accent 3" w:semiHidden="0" w:uiPriority="67" w:unhideWhenUsed="0"/>
    <w:lsdException w:name="Medium Shading 1 Accent 3" w:semiHidden="0" w:uiPriority="68" w:unhideWhenUsed="0"/>
    <w:lsdException w:name="Medium Shading 2 Accent 3" w:semiHidden="0" w:uiPriority="69" w:unhideWhenUsed="0"/>
    <w:lsdException w:name="Medium List 1 Accent 3" w:semiHidden="0" w:uiPriority="70" w:unhideWhenUsed="0"/>
    <w:lsdException w:name="Medium List 2 Accent 3" w:semiHidden="0" w:uiPriority="71" w:unhideWhenUsed="0"/>
    <w:lsdException w:name="Medium Grid 1 Accent 3" w:semiHidden="0" w:uiPriority="72" w:unhideWhenUsed="0"/>
    <w:lsdException w:name="Medium Grid 2 Accent 3" w:semiHidden="0" w:uiPriority="73" w:unhideWhenUsed="0"/>
    <w:lsdException w:name="Medium Grid 3 Accent 3" w:semiHidden="0" w:uiPriority="60" w:unhideWhenUsed="0"/>
    <w:lsdException w:name="Dark List Accent 3" w:semiHidden="0" w:uiPriority="61" w:unhideWhenUsed="0"/>
    <w:lsdException w:name="Colorful Shading Accent 3" w:semiHidden="0" w:uiPriority="62" w:unhideWhenUsed="0"/>
    <w:lsdException w:name="Colorful List Accent 3" w:semiHidden="0" w:uiPriority="63" w:unhideWhenUsed="0"/>
    <w:lsdException w:name="Colorful Grid Accent 3" w:semiHidden="0" w:uiPriority="64" w:unhideWhenUsed="0"/>
    <w:lsdException w:name="Light Shading Accent 4" w:semiHidden="0" w:uiPriority="65" w:unhideWhenUsed="0"/>
    <w:lsdException w:name="Light List Accent 4" w:semiHidden="0" w:uiPriority="66" w:unhideWhenUsed="0"/>
    <w:lsdException w:name="Light Grid Accent 4" w:semiHidden="0" w:uiPriority="67" w:unhideWhenUsed="0"/>
    <w:lsdException w:name="Medium Shading 1 Accent 4" w:semiHidden="0" w:uiPriority="68" w:unhideWhenUsed="0"/>
    <w:lsdException w:name="Medium Shading 2 Accent 4" w:semiHidden="0" w:uiPriority="69" w:unhideWhenUsed="0"/>
    <w:lsdException w:name="Medium List 1 Accent 4" w:semiHidden="0" w:uiPriority="70" w:unhideWhenUsed="0"/>
    <w:lsdException w:name="Medium List 2 Accent 4" w:semiHidden="0" w:uiPriority="71" w:unhideWhenUsed="0"/>
    <w:lsdException w:name="Medium Grid 1 Accent 4" w:semiHidden="0" w:uiPriority="72" w:unhideWhenUsed="0"/>
    <w:lsdException w:name="Medium Grid 2 Accent 4" w:semiHidden="0" w:uiPriority="73" w:unhideWhenUsed="0"/>
    <w:lsdException w:name="Medium Grid 3 Accent 4" w:semiHidden="0" w:uiPriority="60" w:unhideWhenUsed="0"/>
    <w:lsdException w:name="Dark List Accent 4" w:semiHidden="0" w:uiPriority="61" w:unhideWhenUsed="0"/>
    <w:lsdException w:name="Colorful Shading Accent 4" w:semiHidden="0" w:uiPriority="62" w:unhideWhenUsed="0"/>
    <w:lsdException w:name="Colorful List Accent 4" w:semiHidden="0" w:uiPriority="63" w:unhideWhenUsed="0"/>
    <w:lsdException w:name="Colorful Grid Accent 4" w:semiHidden="0" w:uiPriority="64" w:unhideWhenUsed="0"/>
    <w:lsdException w:name="Light Shading Accent 5" w:semiHidden="0" w:uiPriority="65" w:unhideWhenUsed="0"/>
    <w:lsdException w:name="Light List Accent 5" w:semiHidden="0" w:uiPriority="66" w:unhideWhenUsed="0"/>
    <w:lsdException w:name="Light Grid Accent 5" w:semiHidden="0" w:uiPriority="67" w:unhideWhenUsed="0"/>
    <w:lsdException w:name="Medium Shading 1 Accent 5" w:semiHidden="0" w:uiPriority="68" w:unhideWhenUsed="0"/>
    <w:lsdException w:name="Medium Shading 2 Accent 5" w:semiHidden="0" w:uiPriority="69" w:unhideWhenUsed="0"/>
    <w:lsdException w:name="Medium List 1 Accent 5" w:semiHidden="0" w:uiPriority="70" w:unhideWhenUsed="0"/>
    <w:lsdException w:name="Medium List 2 Accent 5" w:semiHidden="0" w:uiPriority="71" w:unhideWhenUsed="0"/>
    <w:lsdException w:name="Medium Grid 1 Accent 5" w:semiHidden="0" w:uiPriority="72" w:unhideWhenUsed="0"/>
    <w:lsdException w:name="Medium Grid 2 Accent 5" w:semiHidden="0" w:uiPriority="73" w:unhideWhenUsed="0"/>
    <w:lsdException w:name="Medium Grid 3 Accent 5" w:semiHidden="0" w:uiPriority="60" w:unhideWhenUsed="0"/>
    <w:lsdException w:name="Dark List Accent 5" w:semiHidden="0" w:uiPriority="61" w:unhideWhenUsed="0"/>
    <w:lsdException w:name="Colorful Shading Accent 5" w:semiHidden="0" w:uiPriority="62" w:unhideWhenUsed="0"/>
    <w:lsdException w:name="Colorful List Accent 5" w:semiHidden="0" w:uiPriority="63" w:unhideWhenUsed="0"/>
    <w:lsdException w:name="Colorful Grid Accent 5" w:semiHidden="0" w:uiPriority="64" w:unhideWhenUsed="0"/>
    <w:lsdException w:name="Light Shading Accent 6" w:semiHidden="0" w:uiPriority="65" w:unhideWhenUsed="0"/>
    <w:lsdException w:name="Light List Accent 6" w:semiHidden="0" w:uiPriority="66" w:unhideWhenUsed="0"/>
    <w:lsdException w:name="Light Grid Accent 6" w:semiHidden="0" w:uiPriority="67" w:unhideWhenUsed="0"/>
    <w:lsdException w:name="Medium Shading 1 Accent 6" w:semiHidden="0" w:uiPriority="68" w:unhideWhenUsed="0"/>
    <w:lsdException w:name="Medium Shading 2 Accent 6" w:semiHidden="0" w:uiPriority="69" w:unhideWhenUsed="0"/>
    <w:lsdException w:name="Medium List 1 Accent 6" w:semiHidden="0" w:uiPriority="70" w:unhideWhenUsed="0"/>
    <w:lsdException w:name="Medium List 2 Accent 6" w:semiHidden="0" w:uiPriority="71" w:unhideWhenUsed="0"/>
    <w:lsdException w:name="Medium Grid 1 Accent 6" w:semiHidden="0" w:uiPriority="72" w:unhideWhenUsed="0"/>
    <w:lsdException w:name="Medium Grid 2 Accent 6" w:semiHidden="0" w:uiPriority="73" w:unhideWhenUsed="0"/>
    <w:lsdException w:name="Medium Grid 3 Accent 6" w:semiHidden="0" w:uiPriority="60" w:unhideWhenUsed="0"/>
    <w:lsdException w:name="Dark List Accent 6" w:semiHidden="0" w:uiPriority="61" w:unhideWhenUsed="0"/>
    <w:lsdException w:name="Colorful Shading Accent 6" w:semiHidden="0" w:uiPriority="62" w:unhideWhenUsed="0"/>
    <w:lsdException w:name="Colorful List Accent 6" w:semiHidden="0" w:uiPriority="63" w:unhideWhenUsed="0"/>
    <w:lsdException w:name="Colorful Grid Accent 6" w:semiHidden="0" w:uiPriority="64" w:unhideWhenUsed="0"/>
    <w:lsdException w:name="Subtle Emphasis" w:semiHidden="0" w:uiPriority="65" w:unhideWhenUsed="0" w:qFormat="1"/>
    <w:lsdException w:name="Intense Emphasis" w:semiHidden="0" w:uiPriority="66" w:unhideWhenUsed="0" w:qFormat="1"/>
    <w:lsdException w:name="Subtle Reference" w:semiHidden="0" w:uiPriority="67" w:unhideWhenUsed="0" w:qFormat="1"/>
    <w:lsdException w:name="Intense Reference" w:semiHidden="0" w:uiPriority="68" w:unhideWhenUsed="0" w:qFormat="1"/>
    <w:lsdException w:name="Book Title" w:semiHidden="0" w:uiPriority="69" w:unhideWhenUsed="0" w:qFormat="1"/>
    <w:lsdException w:name="Bibliography" w:semiHidden="0" w:uiPriority="70" w:unhideWhenUsed="0"/>
    <w:lsdException w:name="TOC Heading" w:uiPriority="71" w:qFormat="1"/>
  </w:latentStyles>
  <w:style w:type="paragraph" w:default="1" w:styleId="Normln">
    <w:name w:val="Normal"/>
    <w:qFormat/>
    <w:rPr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semiHidden/>
    <w:rsid w:val="007A0E35"/>
    <w:rPr>
      <w:rFonts w:ascii="Tahoma" w:hAnsi="Tahoma" w:cs="Tahoma"/>
      <w:sz w:val="16"/>
      <w:szCs w:val="16"/>
    </w:rPr>
  </w:style>
  <w:style w:type="paragraph" w:styleId="Zhlav">
    <w:name w:val="header"/>
    <w:basedOn w:val="Normln"/>
    <w:rsid w:val="00C110F9"/>
    <w:pPr>
      <w:tabs>
        <w:tab w:val="center" w:pos="4536"/>
        <w:tab w:val="right" w:pos="9072"/>
      </w:tabs>
    </w:pPr>
  </w:style>
  <w:style w:type="paragraph" w:styleId="Zpat">
    <w:name w:val="footer"/>
    <w:basedOn w:val="Normln"/>
    <w:rsid w:val="00C110F9"/>
    <w:pPr>
      <w:tabs>
        <w:tab w:val="center" w:pos="4536"/>
        <w:tab w:val="right" w:pos="9072"/>
      </w:tabs>
    </w:pPr>
  </w:style>
  <w:style w:type="paragraph" w:customStyle="1" w:styleId="Char4CharCharCharCharCharCharCharCharCharCharCharCharCharCharCharCharCharCharCharCharCharCharCharChar">
    <w:name w:val="Char4 Char Char Char Char Char Char Char Char Char Char Char Char Char Char Char Char Char Char Char Char Char Char Char Char"/>
    <w:basedOn w:val="Normln"/>
    <w:rsid w:val="00BE6F48"/>
    <w:pPr>
      <w:spacing w:after="160" w:line="240" w:lineRule="exact"/>
    </w:pPr>
    <w:rPr>
      <w:rFonts w:ascii="Times New Roman Bold" w:hAnsi="Times New Roman Bold"/>
      <w:sz w:val="22"/>
      <w:szCs w:val="26"/>
      <w:lang w:val="sk-SK" w:eastAsia="en-US"/>
    </w:rPr>
  </w:style>
  <w:style w:type="paragraph" w:styleId="Podtitul">
    <w:name w:val="Subtitle"/>
    <w:basedOn w:val="Normln"/>
    <w:next w:val="Normln"/>
    <w:link w:val="PodtitulChar"/>
    <w:uiPriority w:val="11"/>
    <w:qFormat/>
    <w:rsid w:val="00582DE9"/>
    <w:pPr>
      <w:spacing w:after="60"/>
      <w:jc w:val="center"/>
      <w:outlineLvl w:val="1"/>
    </w:pPr>
    <w:rPr>
      <w:rFonts w:ascii="Cambria" w:hAnsi="Cambria"/>
    </w:rPr>
  </w:style>
  <w:style w:type="character" w:customStyle="1" w:styleId="PodtitulChar">
    <w:name w:val="Podtitul Char"/>
    <w:link w:val="Podtitul"/>
    <w:uiPriority w:val="11"/>
    <w:rsid w:val="00582DE9"/>
    <w:rPr>
      <w:rFonts w:ascii="Cambria" w:hAnsi="Cambria"/>
      <w:sz w:val="24"/>
      <w:szCs w:val="24"/>
    </w:rPr>
  </w:style>
  <w:style w:type="paragraph" w:customStyle="1" w:styleId="Titulnstrana">
    <w:name w:val="Titulní strana"/>
    <w:basedOn w:val="Normln"/>
    <w:link w:val="TitulnstranaChar"/>
    <w:qFormat/>
    <w:rsid w:val="00742233"/>
    <w:pPr>
      <w:spacing w:after="120" w:line="264" w:lineRule="auto"/>
      <w:jc w:val="center"/>
    </w:pPr>
    <w:rPr>
      <w:rFonts w:ascii="Arial" w:eastAsiaTheme="minorHAnsi" w:hAnsi="Arial" w:cs="Arial"/>
      <w:b/>
      <w:sz w:val="28"/>
      <w:szCs w:val="22"/>
    </w:rPr>
  </w:style>
  <w:style w:type="character" w:customStyle="1" w:styleId="TitulnstranaChar">
    <w:name w:val="Titulní strana Char"/>
    <w:basedOn w:val="Standardnpsmoodstavce"/>
    <w:link w:val="Titulnstrana"/>
    <w:rsid w:val="00742233"/>
    <w:rPr>
      <w:rFonts w:ascii="Arial" w:eastAsiaTheme="minorHAnsi" w:hAnsi="Arial" w:cs="Arial"/>
      <w:b/>
      <w:sz w:val="28"/>
      <w:szCs w:val="22"/>
    </w:rPr>
  </w:style>
  <w:style w:type="table" w:styleId="Mkatabulky">
    <w:name w:val="Table Grid"/>
    <w:basedOn w:val="Normlntabulka"/>
    <w:uiPriority w:val="59"/>
    <w:rsid w:val="00BC3E55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tavecseseznamem">
    <w:name w:val="List Paragraph"/>
    <w:basedOn w:val="Normln"/>
    <w:uiPriority w:val="34"/>
    <w:qFormat/>
    <w:rsid w:val="007561B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57874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762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t:\Sablony\02%20Parlament%20a%20vl&#225;da\e-KLEP\P-12%20P&#345;edkl&#225;dac&#237;%20zpr&#225;va.dotm" TargetMode="Externa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P-12 Předkládací zpráva</Template>
  <TotalTime>17</TotalTime>
  <Pages>1</Pages>
  <Words>1308</Words>
  <Characters>7718</Characters>
  <Application>Microsoft Office Word</Application>
  <DocSecurity>0</DocSecurity>
  <Lines>64</Lines>
  <Paragraphs>18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"[Klepněte sem a vložte římské číslo dle čísla na obálce</vt:lpstr>
      <vt:lpstr>"[Klepněte sem a vložte římské číslo dle čísla na obálce</vt:lpstr>
    </vt:vector>
  </TitlesOfParts>
  <Company>uvcr</Company>
  <LinksUpToDate>false</LinksUpToDate>
  <CharactersWithSpaces>9008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"[Klepněte sem a vložte římské číslo dle čísla na obálce</dc:title>
  <dc:subject/>
  <dc:creator>Ehrlichová Jana</dc:creator>
  <cp:keywords/>
  <cp:lastModifiedBy>Chlebounová Miroslava</cp:lastModifiedBy>
  <cp:revision>8</cp:revision>
  <cp:lastPrinted>2015-09-18T11:14:00Z</cp:lastPrinted>
  <dcterms:created xsi:type="dcterms:W3CDTF">2015-09-15T12:05:00Z</dcterms:created>
  <dcterms:modified xsi:type="dcterms:W3CDTF">2015-09-18T11:15:00Z</dcterms:modified>
</cp:coreProperties>
</file>